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6529" w:rsidRPr="00276529" w:rsidTr="0027652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76529" w:rsidRPr="00276529" w:rsidRDefault="00276529">
            <w:pPr>
              <w:pBdr>
                <w:bottom w:val="single" w:sz="12" w:space="1" w:color="auto"/>
              </w:pBdr>
              <w:spacing w:line="256" w:lineRule="auto"/>
              <w:jc w:val="center"/>
              <w:outlineLvl w:val="5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 xml:space="preserve">Ассоциация «Некоммерческое партнерство высшего образования </w:t>
            </w:r>
          </w:p>
          <w:p w:rsidR="00276529" w:rsidRPr="00276529" w:rsidRDefault="00276529">
            <w:pPr>
              <w:pBdr>
                <w:bottom w:val="single" w:sz="12" w:space="1" w:color="auto"/>
              </w:pBdr>
              <w:spacing w:line="256" w:lineRule="auto"/>
              <w:jc w:val="center"/>
              <w:outlineLvl w:val="5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>«Санкт-Петербургский Национальный открытый Университет»</w:t>
            </w:r>
          </w:p>
          <w:p w:rsidR="00276529" w:rsidRPr="00276529" w:rsidRDefault="00276529">
            <w:pPr>
              <w:pBdr>
                <w:bottom w:val="single" w:sz="12" w:space="1" w:color="auto"/>
              </w:pBdr>
              <w:spacing w:line="256" w:lineRule="auto"/>
              <w:jc w:val="center"/>
              <w:outlineLvl w:val="5"/>
              <w:rPr>
                <w:b/>
                <w:caps/>
                <w:lang w:eastAsia="en-US"/>
              </w:rPr>
            </w:pPr>
            <w:r w:rsidRPr="00276529">
              <w:rPr>
                <w:b/>
                <w:caps/>
                <w:lang w:eastAsia="en-US"/>
              </w:rPr>
              <w:t>(АНП ВО «</w:t>
            </w:r>
            <w:proofErr w:type="spellStart"/>
            <w:r w:rsidRPr="00276529">
              <w:rPr>
                <w:b/>
                <w:caps/>
                <w:lang w:eastAsia="en-US"/>
              </w:rPr>
              <w:t>СП</w:t>
            </w:r>
            <w:r w:rsidRPr="00276529">
              <w:rPr>
                <w:b/>
                <w:lang w:eastAsia="en-US"/>
              </w:rPr>
              <w:t>бНОУ</w:t>
            </w:r>
            <w:proofErr w:type="spellEnd"/>
            <w:r w:rsidRPr="00276529">
              <w:rPr>
                <w:b/>
                <w:caps/>
                <w:lang w:eastAsia="en-US"/>
              </w:rPr>
              <w:t>»)</w:t>
            </w:r>
          </w:p>
          <w:p w:rsidR="00276529" w:rsidRPr="00276529" w:rsidRDefault="00276529">
            <w:pPr>
              <w:spacing w:line="256" w:lineRule="auto"/>
              <w:rPr>
                <w:lang w:eastAsia="en-US"/>
              </w:rPr>
            </w:pPr>
          </w:p>
        </w:tc>
      </w:tr>
    </w:tbl>
    <w:p w:rsidR="00276529" w:rsidRPr="00276529" w:rsidRDefault="00276529" w:rsidP="00276529">
      <w:pPr>
        <w:rPr>
          <w:sz w:val="28"/>
          <w:szCs w:val="28"/>
        </w:rPr>
      </w:pPr>
    </w:p>
    <w:p w:rsidR="00276529" w:rsidRPr="00276529" w:rsidRDefault="00276529" w:rsidP="0027652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276529" w:rsidTr="00276529">
        <w:tc>
          <w:tcPr>
            <w:tcW w:w="4241" w:type="dxa"/>
          </w:tcPr>
          <w:p w:rsidR="00276529" w:rsidRPr="00276529" w:rsidRDefault="00276529">
            <w:pPr>
              <w:spacing w:before="24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276529" w:rsidRPr="00276529" w:rsidRDefault="0027652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276529" w:rsidRPr="00276529" w:rsidRDefault="002765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>УТВЕРЖДАЮ</w:t>
            </w:r>
          </w:p>
          <w:p w:rsidR="00276529" w:rsidRPr="00276529" w:rsidRDefault="002765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>Ректор АНП ВО «</w:t>
            </w:r>
            <w:proofErr w:type="spellStart"/>
            <w:r w:rsidRPr="00276529">
              <w:rPr>
                <w:sz w:val="28"/>
                <w:szCs w:val="28"/>
                <w:lang w:eastAsia="en-US"/>
              </w:rPr>
              <w:t>СПбНОУ</w:t>
            </w:r>
            <w:proofErr w:type="spellEnd"/>
            <w:r w:rsidRPr="00276529">
              <w:rPr>
                <w:sz w:val="28"/>
                <w:szCs w:val="28"/>
                <w:lang w:eastAsia="en-US"/>
              </w:rPr>
              <w:t>»</w:t>
            </w:r>
          </w:p>
          <w:p w:rsidR="00276529" w:rsidRPr="00276529" w:rsidRDefault="00276529">
            <w:pPr>
              <w:spacing w:before="240" w:line="256" w:lineRule="auto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 xml:space="preserve">________________ С.В. Гетманская </w:t>
            </w:r>
          </w:p>
          <w:p w:rsidR="00276529" w:rsidRDefault="00276529" w:rsidP="006D4A42">
            <w:pPr>
              <w:spacing w:before="240" w:line="256" w:lineRule="auto"/>
              <w:rPr>
                <w:sz w:val="28"/>
                <w:szCs w:val="28"/>
                <w:lang w:eastAsia="en-US"/>
              </w:rPr>
            </w:pPr>
            <w:r w:rsidRPr="00276529">
              <w:rPr>
                <w:sz w:val="28"/>
                <w:szCs w:val="28"/>
                <w:lang w:eastAsia="en-US"/>
              </w:rPr>
              <w:t>«</w:t>
            </w:r>
            <w:r w:rsidR="006D4A42">
              <w:rPr>
                <w:sz w:val="28"/>
                <w:szCs w:val="28"/>
                <w:lang w:eastAsia="en-US"/>
              </w:rPr>
              <w:t>18</w:t>
            </w:r>
            <w:r w:rsidRPr="00276529">
              <w:rPr>
                <w:sz w:val="28"/>
                <w:szCs w:val="28"/>
                <w:lang w:eastAsia="en-US"/>
              </w:rPr>
              <w:t xml:space="preserve">» </w:t>
            </w:r>
            <w:r w:rsidR="006D4A42">
              <w:rPr>
                <w:sz w:val="28"/>
                <w:szCs w:val="28"/>
                <w:lang w:eastAsia="en-US"/>
              </w:rPr>
              <w:t>января</w:t>
            </w:r>
            <w:r w:rsidRPr="00276529">
              <w:rPr>
                <w:sz w:val="28"/>
                <w:szCs w:val="28"/>
                <w:lang w:eastAsia="en-US"/>
              </w:rPr>
              <w:t xml:space="preserve"> 20</w:t>
            </w:r>
            <w:r w:rsidR="006D4A42">
              <w:rPr>
                <w:sz w:val="28"/>
                <w:szCs w:val="28"/>
                <w:lang w:eastAsia="en-US"/>
              </w:rPr>
              <w:t>19</w:t>
            </w:r>
            <w:r w:rsidRPr="00276529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76529" w:rsidRDefault="00276529" w:rsidP="00276529">
      <w:pPr>
        <w:ind w:left="2124" w:firstLine="708"/>
        <w:jc w:val="center"/>
        <w:rPr>
          <w:b/>
        </w:rPr>
      </w:pPr>
    </w:p>
    <w:p w:rsidR="00276529" w:rsidRDefault="00276529" w:rsidP="00276529">
      <w:pPr>
        <w:ind w:left="2124" w:firstLine="708"/>
        <w:jc w:val="center"/>
        <w:rPr>
          <w:b/>
        </w:rPr>
      </w:pPr>
    </w:p>
    <w:p w:rsidR="00276529" w:rsidRDefault="00276529" w:rsidP="00276529">
      <w:pPr>
        <w:ind w:left="2124" w:firstLine="708"/>
        <w:jc w:val="center"/>
        <w:rPr>
          <w:b/>
        </w:rPr>
      </w:pPr>
      <w:r>
        <w:rPr>
          <w:b/>
        </w:rPr>
        <w:t xml:space="preserve">  </w:t>
      </w:r>
    </w:p>
    <w:p w:rsidR="00276529" w:rsidRDefault="00276529" w:rsidP="00276529">
      <w:pPr>
        <w:jc w:val="center"/>
        <w:rPr>
          <w:b/>
        </w:rPr>
      </w:pPr>
    </w:p>
    <w:p w:rsidR="00276529" w:rsidRDefault="00276529" w:rsidP="00276529">
      <w:pPr>
        <w:rPr>
          <w:b/>
        </w:rPr>
      </w:pPr>
    </w:p>
    <w:p w:rsidR="00276529" w:rsidRDefault="00276529" w:rsidP="00276529">
      <w:pPr>
        <w:jc w:val="center"/>
      </w:pPr>
    </w:p>
    <w:p w:rsidR="00276529" w:rsidRDefault="00276529" w:rsidP="00276529">
      <w:pPr>
        <w:jc w:val="center"/>
      </w:pPr>
    </w:p>
    <w:p w:rsidR="00276529" w:rsidRDefault="00276529" w:rsidP="00276529">
      <w:pPr>
        <w:jc w:val="center"/>
      </w:pPr>
    </w:p>
    <w:p w:rsidR="00276529" w:rsidRDefault="00276529" w:rsidP="00276529">
      <w:pPr>
        <w:jc w:val="center"/>
        <w:rPr>
          <w:b/>
        </w:rPr>
      </w:pPr>
    </w:p>
    <w:p w:rsidR="00276529" w:rsidRDefault="00276529" w:rsidP="00276529">
      <w:pPr>
        <w:jc w:val="center"/>
        <w:rPr>
          <w:b/>
        </w:rPr>
      </w:pPr>
      <w:r>
        <w:rPr>
          <w:b/>
          <w:bCs/>
          <w:sz w:val="28"/>
          <w:szCs w:val="28"/>
        </w:rPr>
        <w:t>Рабочая программа по дисциплине</w:t>
      </w:r>
    </w:p>
    <w:p w:rsidR="00276529" w:rsidRDefault="00276529" w:rsidP="0027652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"НАЛОГОВЫЙ УЧЁТ"</w:t>
      </w:r>
    </w:p>
    <w:p w:rsidR="00276529" w:rsidRDefault="00276529" w:rsidP="002765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профессиональная программа </w:t>
      </w:r>
    </w:p>
    <w:p w:rsidR="00276529" w:rsidRDefault="00276529" w:rsidP="002765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«БУХГАЛТЕРСКИЙ УЧЁТ, АНАЛИЗ И АУДИТ»»</w:t>
      </w: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both"/>
        <w:rPr>
          <w:b/>
          <w:bCs/>
        </w:rPr>
      </w:pPr>
    </w:p>
    <w:p w:rsidR="00276529" w:rsidRDefault="00276529" w:rsidP="00276529">
      <w:pPr>
        <w:ind w:right="175" w:firstLine="360"/>
        <w:jc w:val="center"/>
      </w:pPr>
      <w:r>
        <w:t>Санкт-Петербург</w:t>
      </w:r>
    </w:p>
    <w:p w:rsidR="00276529" w:rsidRPr="00276529" w:rsidRDefault="00276529" w:rsidP="00276529">
      <w:pPr>
        <w:ind w:right="175" w:firstLine="360"/>
        <w:jc w:val="center"/>
      </w:pPr>
      <w:r>
        <w:t>20</w:t>
      </w:r>
      <w:r w:rsidR="006D4A42">
        <w:t>19</w:t>
      </w:r>
    </w:p>
    <w:p w:rsidR="00276529" w:rsidRPr="00276529" w:rsidRDefault="00276529" w:rsidP="00276529">
      <w:pPr>
        <w:ind w:right="175" w:firstLine="360"/>
        <w:jc w:val="center"/>
      </w:pPr>
    </w:p>
    <w:p w:rsidR="006D4A42" w:rsidRDefault="00276529" w:rsidP="00276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76529">
        <w:t xml:space="preserve">Разработчик: </w:t>
      </w:r>
    </w:p>
    <w:p w:rsidR="00276529" w:rsidRPr="00276529" w:rsidRDefault="00276529" w:rsidP="00276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276529">
        <w:t>Белякова Елена Ивановн</w:t>
      </w:r>
      <w:r w:rsidR="006D4A42">
        <w:t>а, кандидат экономических наук</w:t>
      </w: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6D4A42" w:rsidRDefault="006D4A42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6D4A42" w:rsidRDefault="006D4A42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6D4A42" w:rsidRDefault="006D4A42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  <w:highlight w:val="yellow"/>
        </w:rPr>
      </w:pPr>
    </w:p>
    <w:p w:rsidR="00276529" w:rsidRPr="00276529" w:rsidRDefault="00276529" w:rsidP="00276529">
      <w:pPr>
        <w:spacing w:line="360" w:lineRule="auto"/>
      </w:pPr>
      <w:r w:rsidRPr="00276529">
        <w:t>Обсуждена и рекомендована к утверждению</w:t>
      </w:r>
    </w:p>
    <w:p w:rsidR="00276529" w:rsidRPr="00276529" w:rsidRDefault="00276529" w:rsidP="00276529">
      <w:pPr>
        <w:spacing w:line="360" w:lineRule="auto"/>
      </w:pPr>
      <w:r w:rsidRPr="00276529">
        <w:t>На заседании Ученого Совета</w:t>
      </w:r>
    </w:p>
    <w:p w:rsidR="006D4A42" w:rsidRPr="00876A7B" w:rsidRDefault="006D4A42" w:rsidP="006D4A42">
      <w:pPr>
        <w:keepNext/>
        <w:spacing w:after="200" w:line="276" w:lineRule="auto"/>
        <w:outlineLvl w:val="0"/>
        <w:rPr>
          <w:rFonts w:eastAsia="Calibri"/>
          <w:bCs/>
          <w:color w:val="000000"/>
          <w:kern w:val="32"/>
        </w:rPr>
      </w:pPr>
      <w:bookmarkStart w:id="0" w:name="_GoBack"/>
      <w:proofErr w:type="spellStart"/>
      <w:r w:rsidRPr="00876A7B">
        <w:rPr>
          <w:rFonts w:eastAsia="Calibri"/>
          <w:bCs/>
          <w:color w:val="000000"/>
          <w:kern w:val="32"/>
        </w:rPr>
        <w:t>Прот</w:t>
      </w:r>
      <w:proofErr w:type="spellEnd"/>
      <w:r w:rsidRPr="00876A7B">
        <w:rPr>
          <w:rFonts w:eastAsia="Calibri"/>
          <w:bCs/>
          <w:color w:val="000000"/>
          <w:kern w:val="32"/>
        </w:rPr>
        <w:t>№ 1 от 15 января 2019г.</w:t>
      </w:r>
    </w:p>
    <w:bookmarkEnd w:id="0"/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E85607" w:rsidRPr="00276529" w:rsidRDefault="00E85607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P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1.  Цель и задачи дисциплины</w:t>
      </w:r>
    </w:p>
    <w:p w:rsidR="00276529" w:rsidRDefault="00276529" w:rsidP="00276529">
      <w:pPr>
        <w:pStyle w:val="Default"/>
        <w:jc w:val="both"/>
        <w:rPr>
          <w:bCs/>
          <w:color w:val="auto"/>
        </w:rPr>
      </w:pPr>
    </w:p>
    <w:p w:rsidR="004249D6" w:rsidRDefault="00276529" w:rsidP="004249D6">
      <w:pPr>
        <w:pStyle w:val="aa"/>
        <w:rPr>
          <w:iCs/>
        </w:rPr>
      </w:pPr>
      <w:r>
        <w:rPr>
          <w:iCs/>
        </w:rPr>
        <w:t xml:space="preserve">  </w:t>
      </w:r>
    </w:p>
    <w:p w:rsidR="004249D6" w:rsidRPr="00A71ACB" w:rsidRDefault="004249D6" w:rsidP="004249D6">
      <w:pPr>
        <w:pStyle w:val="aa"/>
        <w:ind w:left="0"/>
      </w:pPr>
      <w:r>
        <w:rPr>
          <w:iCs/>
        </w:rPr>
        <w:t xml:space="preserve">        </w:t>
      </w:r>
      <w:r w:rsidR="00276529">
        <w:rPr>
          <w:b/>
        </w:rPr>
        <w:t>Цель дисциплины</w:t>
      </w:r>
      <w:r w:rsidR="00276529" w:rsidRPr="00A71ACB">
        <w:rPr>
          <w:b/>
        </w:rPr>
        <w:t>:</w:t>
      </w:r>
      <w:r w:rsidR="00276529" w:rsidRPr="00A71ACB">
        <w:rPr>
          <w:i/>
        </w:rPr>
        <w:t xml:space="preserve"> </w:t>
      </w:r>
      <w:r w:rsidR="00276529" w:rsidRPr="00A71ACB">
        <w:t xml:space="preserve">формирование у слушателей </w:t>
      </w:r>
      <w:r w:rsidRPr="00A71ACB">
        <w:t xml:space="preserve">систематизированных знаний о действующей в Российской Федерации налоговой системе, введённых налоговых режимах, принятых нормативно-правовых актах, регулирующих порядок налогообложения организаций и физических лиц, </w:t>
      </w:r>
      <w:r w:rsidR="00276529" w:rsidRPr="00A71ACB">
        <w:t xml:space="preserve">необходимых для осуществления нового вида профессиональной деятельности, связанной с ведением бухгалтерского и налогового учета, о </w:t>
      </w:r>
      <w:r w:rsidRPr="00A71ACB">
        <w:t>порядке установления и введения налогов, сборов, страховых взносов, порядке исчисления и уплаты налогов, сборов, страховых взносов</w:t>
      </w:r>
      <w:r w:rsidR="008D293F" w:rsidRPr="00A71ACB">
        <w:t>.</w:t>
      </w:r>
    </w:p>
    <w:p w:rsidR="00276529" w:rsidRDefault="00276529" w:rsidP="00276529">
      <w:pPr>
        <w:shd w:val="clear" w:color="auto" w:fill="FFFFFF"/>
        <w:ind w:firstLine="709"/>
        <w:jc w:val="both"/>
      </w:pPr>
      <w:r>
        <w:rPr>
          <w:b/>
        </w:rPr>
        <w:t>Задачи:</w:t>
      </w:r>
      <w:r>
        <w:t xml:space="preserve"> </w:t>
      </w:r>
    </w:p>
    <w:p w:rsidR="008D293F" w:rsidRDefault="008D293F" w:rsidP="008D293F">
      <w:pPr>
        <w:shd w:val="clear" w:color="auto" w:fill="FFFFFF"/>
        <w:ind w:firstLine="709"/>
        <w:jc w:val="both"/>
        <w:rPr>
          <w:bCs/>
        </w:rPr>
      </w:pPr>
      <w:proofErr w:type="gramStart"/>
      <w:r>
        <w:rPr>
          <w:bCs/>
        </w:rPr>
        <w:t>сформировать  теоретические</w:t>
      </w:r>
      <w:proofErr w:type="gramEnd"/>
      <w:r>
        <w:rPr>
          <w:bCs/>
        </w:rPr>
        <w:t xml:space="preserve"> знания и практические навыки, необходимые для:</w:t>
      </w:r>
    </w:p>
    <w:p w:rsidR="008D293F" w:rsidRDefault="008D293F" w:rsidP="008D293F">
      <w:pPr>
        <w:shd w:val="clear" w:color="auto" w:fill="FFFFFF"/>
        <w:ind w:firstLine="709"/>
        <w:jc w:val="both"/>
        <w:rPr>
          <w:bCs/>
        </w:rPr>
      </w:pPr>
    </w:p>
    <w:p w:rsidR="008D293F" w:rsidRDefault="008D293F" w:rsidP="00276529">
      <w:pPr>
        <w:shd w:val="clear" w:color="auto" w:fill="FFFFFF"/>
        <w:ind w:firstLine="709"/>
        <w:jc w:val="both"/>
      </w:pPr>
      <w:r>
        <w:t>-организации и ведения налогового  учёта:</w:t>
      </w:r>
    </w:p>
    <w:p w:rsidR="008D293F" w:rsidRDefault="008D293F" w:rsidP="00276529">
      <w:pPr>
        <w:shd w:val="clear" w:color="auto" w:fill="FFFFFF"/>
        <w:ind w:firstLine="709"/>
        <w:jc w:val="both"/>
      </w:pPr>
      <w:r>
        <w:t>-осуществления выбора налогового режима;</w:t>
      </w:r>
    </w:p>
    <w:p w:rsidR="008D293F" w:rsidRDefault="008D293F" w:rsidP="00276529">
      <w:pPr>
        <w:shd w:val="clear" w:color="auto" w:fill="FFFFFF"/>
        <w:ind w:firstLine="709"/>
        <w:jc w:val="both"/>
      </w:pPr>
      <w:r>
        <w:t>-проведения расчётов налоговых платежей и взносов на обязательное социальное страхование;</w:t>
      </w:r>
    </w:p>
    <w:p w:rsidR="008D293F" w:rsidRDefault="008D293F" w:rsidP="00276529">
      <w:pPr>
        <w:shd w:val="clear" w:color="auto" w:fill="FFFFFF"/>
        <w:ind w:firstLine="709"/>
        <w:jc w:val="both"/>
      </w:pPr>
      <w:r>
        <w:t xml:space="preserve">-обеспечения своевременного составления и представления налоговой отчётности, своевременного исполнения налоговых обязанностей; </w:t>
      </w:r>
    </w:p>
    <w:p w:rsidR="00A71ACB" w:rsidRPr="00A71ACB" w:rsidRDefault="008D293F" w:rsidP="008D293F">
      <w:pPr>
        <w:pStyle w:val="a8"/>
        <w:rPr>
          <w:iCs/>
        </w:rPr>
      </w:pPr>
      <w:r w:rsidRPr="00A71ACB">
        <w:t xml:space="preserve">        -выработку умений </w:t>
      </w:r>
      <w:r w:rsidRPr="00A71ACB">
        <w:rPr>
          <w:iCs/>
        </w:rPr>
        <w:t xml:space="preserve">планировать налоговую нагрузку, </w:t>
      </w:r>
      <w:r w:rsidRPr="00A71ACB">
        <w:t xml:space="preserve">анализировать налоговую отчётность предприятий и индивидуальных предпринимателей, </w:t>
      </w:r>
      <w:r w:rsidRPr="00A71ACB">
        <w:rPr>
          <w:iCs/>
        </w:rPr>
        <w:t>оценивать влияние различных факторов,</w:t>
      </w:r>
      <w:r w:rsidRPr="00A71ACB">
        <w:t xml:space="preserve"> в  том числе  условий заключения договоров на налоговые платежи, </w:t>
      </w:r>
      <w:r w:rsidRPr="00A71ACB">
        <w:rPr>
          <w:iCs/>
        </w:rPr>
        <w:t>возможные налоговые риски</w:t>
      </w:r>
      <w:r w:rsidR="00A71ACB" w:rsidRPr="00A71ACB">
        <w:rPr>
          <w:iCs/>
        </w:rPr>
        <w:t>;</w:t>
      </w:r>
      <w:r w:rsidRPr="00A71ACB">
        <w:rPr>
          <w:iCs/>
        </w:rPr>
        <w:t xml:space="preserve"> </w:t>
      </w:r>
    </w:p>
    <w:p w:rsidR="008D293F" w:rsidRPr="00A71ACB" w:rsidRDefault="00A71ACB" w:rsidP="008D293F">
      <w:pPr>
        <w:pStyle w:val="a8"/>
      </w:pPr>
      <w:r w:rsidRPr="00A71ACB">
        <w:rPr>
          <w:iCs/>
        </w:rPr>
        <w:t>-</w:t>
      </w:r>
      <w:r w:rsidR="008D293F" w:rsidRPr="00A71ACB">
        <w:rPr>
          <w:iCs/>
        </w:rPr>
        <w:t>применять современные технологии при ведении налогового учёта, составлении и представлении налоговой отчётности.</w:t>
      </w:r>
    </w:p>
    <w:p w:rsidR="008D293F" w:rsidRDefault="008D293F" w:rsidP="00276529">
      <w:pPr>
        <w:shd w:val="clear" w:color="auto" w:fill="FFFFFF"/>
        <w:ind w:firstLine="709"/>
        <w:jc w:val="both"/>
      </w:pPr>
    </w:p>
    <w:p w:rsidR="00276529" w:rsidRDefault="00276529" w:rsidP="00276529">
      <w:pPr>
        <w:pStyle w:val="Default"/>
        <w:jc w:val="both"/>
        <w:rPr>
          <w:bCs/>
          <w:color w:val="auto"/>
        </w:rPr>
      </w:pPr>
    </w:p>
    <w:p w:rsidR="00276529" w:rsidRDefault="00276529" w:rsidP="00276529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2.  </w:t>
      </w:r>
      <w:r>
        <w:rPr>
          <w:b/>
          <w:color w:val="000000"/>
        </w:rPr>
        <w:t>Требования к результатам освоения дисциплины</w:t>
      </w:r>
    </w:p>
    <w:p w:rsidR="00276529" w:rsidRDefault="00276529" w:rsidP="00276529">
      <w:pPr>
        <w:shd w:val="clear" w:color="auto" w:fill="FFFFFF"/>
        <w:ind w:firstLine="709"/>
        <w:jc w:val="both"/>
      </w:pPr>
      <w:r>
        <w:t xml:space="preserve">Процесс изучения дисциплины направлен на формирование следующих компетенций: </w:t>
      </w:r>
    </w:p>
    <w:p w:rsidR="00276529" w:rsidRDefault="00276529" w:rsidP="00276529">
      <w:pPr>
        <w:ind w:firstLine="360"/>
        <w:jc w:val="both"/>
        <w:rPr>
          <w:u w:val="single"/>
        </w:rPr>
      </w:pPr>
      <w:r>
        <w:rPr>
          <w:u w:val="single"/>
        </w:rPr>
        <w:t>Общекультурные компетенции:</w:t>
      </w:r>
    </w:p>
    <w:p w:rsidR="00276529" w:rsidRDefault="00276529" w:rsidP="00276529">
      <w:pPr>
        <w:shd w:val="clear" w:color="auto" w:fill="FFFFFF"/>
        <w:ind w:firstLine="709"/>
        <w:jc w:val="both"/>
      </w:pPr>
    </w:p>
    <w:p w:rsidR="00276529" w:rsidRPr="006D4A42" w:rsidRDefault="00276529" w:rsidP="00276529">
      <w:pPr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76529" w:rsidRPr="006D4A42" w:rsidRDefault="00276529" w:rsidP="00276529">
      <w:pPr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76529" w:rsidRPr="006D4A42" w:rsidRDefault="00276529" w:rsidP="00276529">
      <w:pPr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клиентами;</w:t>
      </w:r>
    </w:p>
    <w:p w:rsidR="00276529" w:rsidRPr="006D4A42" w:rsidRDefault="00276529" w:rsidP="00276529">
      <w:pPr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09. Использовать информационные технологии в профессиональной деятельности;</w:t>
      </w:r>
    </w:p>
    <w:p w:rsidR="00276529" w:rsidRPr="006D4A42" w:rsidRDefault="00276529" w:rsidP="00276529">
      <w:pPr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10. Пользоваться профессиональной документацией на государственном и иностранном языках;</w:t>
      </w:r>
    </w:p>
    <w:p w:rsidR="00276529" w:rsidRPr="006D4A42" w:rsidRDefault="00276529" w:rsidP="00276529">
      <w:pPr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529" w:rsidRPr="006D4A42" w:rsidRDefault="00276529" w:rsidP="00276529">
      <w:pPr>
        <w:pStyle w:val="21"/>
        <w:spacing w:line="240" w:lineRule="auto"/>
        <w:rPr>
          <w:color w:val="000000" w:themeColor="text1"/>
          <w:u w:val="single"/>
        </w:rPr>
      </w:pPr>
      <w:r w:rsidRPr="006D4A42">
        <w:rPr>
          <w:color w:val="000000" w:themeColor="text1"/>
          <w:u w:val="single"/>
        </w:rPr>
        <w:t>Профессиональные компетенции:</w:t>
      </w:r>
    </w:p>
    <w:p w:rsidR="004249D6" w:rsidRPr="006D4A42" w:rsidRDefault="004249D6" w:rsidP="004249D6">
      <w:pPr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4249D6" w:rsidRPr="006D4A42" w:rsidRDefault="004249D6" w:rsidP="004249D6">
      <w:pPr>
        <w:spacing w:before="100" w:beforeAutospacing="1" w:after="100" w:afterAutospacing="1"/>
        <w:rPr>
          <w:color w:val="000000" w:themeColor="text1"/>
        </w:rPr>
      </w:pPr>
      <w:r w:rsidRPr="006D4A42">
        <w:rPr>
          <w:color w:val="000000" w:themeColor="text1"/>
          <w:sz w:val="23"/>
          <w:szCs w:val="23"/>
        </w:rPr>
        <w:lastRenderedPageBreak/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4249D6" w:rsidRPr="006D4A42" w:rsidRDefault="004249D6" w:rsidP="004249D6">
      <w:pPr>
        <w:spacing w:before="100" w:beforeAutospacing="1" w:after="100" w:afterAutospacing="1"/>
        <w:rPr>
          <w:color w:val="000000" w:themeColor="text1"/>
        </w:rPr>
      </w:pPr>
      <w:r w:rsidRPr="006D4A42">
        <w:rPr>
          <w:color w:val="000000" w:themeColor="text1"/>
        </w:rPr>
        <w:t>ПК 3.3.</w:t>
      </w:r>
      <w:r w:rsidRPr="006D4A42">
        <w:rPr>
          <w:color w:val="000000" w:themeColor="text1"/>
          <w:sz w:val="23"/>
          <w:szCs w:val="23"/>
        </w:rPr>
        <w:t xml:space="preserve">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4249D6" w:rsidRPr="006D4A42" w:rsidRDefault="004249D6" w:rsidP="004249D6">
      <w:pPr>
        <w:rPr>
          <w:color w:val="000000" w:themeColor="text1"/>
        </w:rPr>
      </w:pPr>
      <w:r w:rsidRPr="006D4A42">
        <w:rPr>
          <w:color w:val="000000" w:themeColor="text1"/>
        </w:rPr>
        <w:t>ПК 3.4.</w:t>
      </w:r>
      <w:r w:rsidRPr="006D4A42">
        <w:rPr>
          <w:color w:val="000000" w:themeColor="text1"/>
          <w:sz w:val="23"/>
          <w:szCs w:val="23"/>
        </w:rPr>
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4249D6" w:rsidRPr="006D4A42" w:rsidRDefault="004249D6" w:rsidP="004249D6">
      <w:pPr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ПК 4.3.Составлять (отчеты) и налоговые декларации по налогам и сборам,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4249D6" w:rsidRPr="006D4A42" w:rsidRDefault="004249D6" w:rsidP="004249D6">
      <w:pPr>
        <w:rPr>
          <w:color w:val="000000" w:themeColor="text1"/>
        </w:rPr>
      </w:pPr>
      <w:r w:rsidRPr="006D4A42">
        <w:rPr>
          <w:color w:val="000000" w:themeColor="text1"/>
          <w:sz w:val="23"/>
          <w:szCs w:val="23"/>
        </w:rPr>
        <w:t>ПК 5.2.Разрабатывать и заполнять первичные учетные документы и регистры налогового учета;</w:t>
      </w:r>
    </w:p>
    <w:p w:rsidR="004249D6" w:rsidRPr="006D4A42" w:rsidRDefault="004249D6" w:rsidP="004249D6">
      <w:pPr>
        <w:rPr>
          <w:color w:val="000000" w:themeColor="text1"/>
        </w:rPr>
      </w:pPr>
      <w:r w:rsidRPr="006D4A42">
        <w:rPr>
          <w:color w:val="000000" w:themeColor="text1"/>
          <w:sz w:val="23"/>
          <w:szCs w:val="23"/>
        </w:rPr>
        <w:t>ПК 5.3.Проводить определение налоговой базы для расчета налогов и сборов, обязательных для уплаты;</w:t>
      </w:r>
    </w:p>
    <w:p w:rsidR="004249D6" w:rsidRPr="006D4A42" w:rsidRDefault="004249D6" w:rsidP="004249D6">
      <w:pPr>
        <w:rPr>
          <w:color w:val="000000" w:themeColor="text1"/>
          <w:sz w:val="23"/>
          <w:szCs w:val="23"/>
        </w:rPr>
      </w:pPr>
      <w:r w:rsidRPr="006D4A42">
        <w:rPr>
          <w:color w:val="000000" w:themeColor="text1"/>
          <w:sz w:val="23"/>
          <w:szCs w:val="23"/>
        </w:rPr>
        <w:t>ПК 5.5.Проводить налоговое планирование деятельности организации.</w:t>
      </w:r>
    </w:p>
    <w:p w:rsidR="004249D6" w:rsidRPr="006D4A42" w:rsidRDefault="004249D6" w:rsidP="004249D6">
      <w:pPr>
        <w:rPr>
          <w:color w:val="000000" w:themeColor="text1"/>
          <w:sz w:val="23"/>
          <w:szCs w:val="23"/>
        </w:rPr>
      </w:pPr>
    </w:p>
    <w:p w:rsidR="004249D6" w:rsidRPr="009659A8" w:rsidRDefault="004249D6" w:rsidP="004249D6">
      <w:pPr>
        <w:rPr>
          <w:sz w:val="23"/>
          <w:szCs w:val="23"/>
        </w:rPr>
      </w:pPr>
    </w:p>
    <w:p w:rsidR="004249D6" w:rsidRDefault="004249D6" w:rsidP="004249D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</w:rPr>
      </w:pPr>
      <w:r>
        <w:rPr>
          <w:u w:val="single"/>
        </w:rPr>
        <w:t>Ожидаемые результаты</w:t>
      </w:r>
      <w:r>
        <w:rPr>
          <w:b/>
        </w:rPr>
        <w:t>:</w:t>
      </w:r>
      <w:r>
        <w:t xml:space="preserve"> </w:t>
      </w:r>
      <w:r>
        <w:rPr>
          <w:i/>
        </w:rPr>
        <w:t>в результате изучения дисциплины слушатели должны:</w:t>
      </w:r>
    </w:p>
    <w:p w:rsidR="004249D6" w:rsidRDefault="004249D6" w:rsidP="004249D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b/>
          <w:i/>
          <w:lang w:eastAsia="ar-SA"/>
        </w:rPr>
      </w:pPr>
      <w:r>
        <w:rPr>
          <w:b/>
          <w:i/>
          <w:lang w:eastAsia="ar-SA"/>
        </w:rPr>
        <w:t>Знать: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i/>
          <w:lang w:eastAsia="ar-SA"/>
        </w:rPr>
      </w:pPr>
      <w:r>
        <w:rPr>
          <w:i/>
          <w:lang w:eastAsia="ar-SA"/>
        </w:rPr>
        <w:t>-налоговое законодательство;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i/>
          <w:lang w:eastAsia="ar-SA"/>
        </w:rPr>
      </w:pPr>
      <w:r>
        <w:rPr>
          <w:i/>
          <w:lang w:eastAsia="ar-SA"/>
        </w:rPr>
        <w:t>-законодательство РФ о бухгалтерском учёте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i/>
          <w:lang w:eastAsia="ar-SA"/>
        </w:rPr>
      </w:pPr>
      <w:r>
        <w:rPr>
          <w:i/>
          <w:lang w:eastAsia="ar-SA"/>
        </w:rPr>
        <w:t>-нормы гражданского и трудового законодательства, применяемые при ведении налогового учёта;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i/>
          <w:lang w:eastAsia="ar-SA"/>
        </w:rPr>
      </w:pPr>
      <w:r>
        <w:rPr>
          <w:i/>
          <w:lang w:eastAsia="ar-SA"/>
        </w:rPr>
        <w:t>-ведомственные акты ФНС РФ, регламентирующие порядок взаимодействия налогоплательщиков с налоговыми органами;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-современные информационные технологии, применяемые при ведении бухгалтерского и налогового учёта, компьютерные программы; 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b/>
          <w:i/>
          <w:lang w:eastAsia="ar-SA"/>
        </w:rPr>
      </w:pPr>
      <w:r>
        <w:rPr>
          <w:b/>
          <w:i/>
          <w:lang w:eastAsia="ar-SA"/>
        </w:rPr>
        <w:t>уметь: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-составлять первичные бухгалтерские и налоговые документы,  осуществлять их комплексную проверку, обеспечивать их сохранность, применять информационные технологии при документальном оформлении операций;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 xml:space="preserve">- формировать регистры налогового учёта, производить расчёты налоговых платежей и взносов на обязательное социальное страхование, проверять контрольные соотношения данных различных форм налоговой </w:t>
      </w:r>
      <w:proofErr w:type="gramStart"/>
      <w:r>
        <w:rPr>
          <w:i/>
          <w:lang w:eastAsia="ar-SA"/>
        </w:rPr>
        <w:t>отчётности;,</w:t>
      </w:r>
      <w:proofErr w:type="gramEnd"/>
      <w:r>
        <w:rPr>
          <w:i/>
          <w:lang w:eastAsia="ar-SA"/>
        </w:rPr>
        <w:t xml:space="preserve"> 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 w:rsidRPr="006D4A42">
        <w:rPr>
          <w:i/>
          <w:lang w:eastAsia="ar-SA"/>
        </w:rPr>
        <w:t>-разрабатывать</w:t>
      </w:r>
      <w:r>
        <w:rPr>
          <w:i/>
          <w:lang w:eastAsia="ar-SA"/>
        </w:rPr>
        <w:t xml:space="preserve"> внутренние распорядительные документы и локальные акты по налоговому учёту;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-формировать учётную политику организации для целей налогообложения, оценивать возможные последствия изменений учётной политики;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-составлять  налоговую отчётность;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-выявлять и оценивать факторы, влияющие на достоверность отчётности, оценивать налоговые риски;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-осуществлять внутренний контроль;</w:t>
      </w:r>
    </w:p>
    <w:p w:rsidR="004249D6" w:rsidRDefault="004249D6" w:rsidP="004249D6">
      <w:pPr>
        <w:widowControl w:val="0"/>
        <w:tabs>
          <w:tab w:val="right" w:leader="underscore" w:pos="9639"/>
        </w:tabs>
        <w:suppressAutoHyphens/>
        <w:ind w:firstLine="709"/>
        <w:rPr>
          <w:i/>
          <w:lang w:eastAsia="ar-SA"/>
        </w:rPr>
      </w:pPr>
      <w:r>
        <w:rPr>
          <w:i/>
          <w:lang w:eastAsia="ar-SA"/>
        </w:rPr>
        <w:t>-пользоваться компьютерными программами;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i/>
          <w:lang w:eastAsia="ar-SA"/>
        </w:rPr>
        <w:t>владеть навыками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>
        <w:rPr>
          <w:b/>
        </w:rPr>
        <w:t xml:space="preserve">            -</w:t>
      </w:r>
      <w:r>
        <w:t>работы с первичными бухгалтерскими  и налоговыми документами, оценивать влияния нарушений в работе с документами на  налоговую отчётность организации;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- ведения регистров налогового учёта, составления бюджета расчётов по налогам, сборам, страховым взносам;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  </w:t>
      </w:r>
      <w:r>
        <w:rPr>
          <w:color w:val="FF0000"/>
        </w:rPr>
        <w:t xml:space="preserve">            </w:t>
      </w:r>
      <w:r>
        <w:t>-заполнения налоговых деклараций и расчётов, арифметической и логической проверки показателей отчётности;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-организации и ведения налогового учёта, налогового планирования в экономическом субъекте;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-организации внутреннего контроля, проверки первичных и налоговых документов, регистров налогового учёта;</w:t>
      </w:r>
    </w:p>
    <w:p w:rsidR="004249D6" w:rsidRDefault="004249D6" w:rsidP="0042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-контроля за соответствием </w:t>
      </w:r>
      <w:proofErr w:type="gramStart"/>
      <w:r>
        <w:t>ведения  налогового</w:t>
      </w:r>
      <w:proofErr w:type="gramEnd"/>
      <w:r>
        <w:t xml:space="preserve"> учёта принятой учётной политике.</w:t>
      </w:r>
    </w:p>
    <w:p w:rsidR="00276529" w:rsidRDefault="00276529" w:rsidP="0027652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276529" w:rsidRDefault="00276529" w:rsidP="00276529">
      <w:pPr>
        <w:widowControl w:val="0"/>
        <w:ind w:firstLine="709"/>
        <w:jc w:val="center"/>
        <w:rPr>
          <w:iCs/>
          <w:color w:val="000000"/>
        </w:rPr>
      </w:pPr>
      <w:r>
        <w:rPr>
          <w:b/>
          <w:iCs/>
          <w:color w:val="000000"/>
        </w:rPr>
        <w:t>3. Структура и содержание дисциплины</w:t>
      </w:r>
    </w:p>
    <w:p w:rsidR="00276529" w:rsidRDefault="00276529" w:rsidP="00276529">
      <w:pPr>
        <w:widowControl w:val="0"/>
        <w:ind w:right="408" w:firstLine="709"/>
        <w:jc w:val="right"/>
        <w:rPr>
          <w:iCs/>
          <w:color w:val="000000"/>
        </w:rPr>
      </w:pPr>
    </w:p>
    <w:p w:rsidR="00276529" w:rsidRDefault="00276529" w:rsidP="00276529">
      <w:pPr>
        <w:ind w:firstLine="709"/>
        <w:jc w:val="both"/>
      </w:pPr>
      <w:r>
        <w:t>Общая трудоёмкость дисциплины составляет 36 часов.</w:t>
      </w:r>
    </w:p>
    <w:p w:rsidR="00276529" w:rsidRDefault="00276529" w:rsidP="00276529">
      <w:pPr>
        <w:ind w:firstLine="709"/>
        <w:jc w:val="both"/>
        <w:rPr>
          <w:iCs/>
          <w:color w:val="000000"/>
        </w:rPr>
      </w:pPr>
      <w:r>
        <w:t xml:space="preserve">Вид аттестации –  экзамен </w:t>
      </w:r>
    </w:p>
    <w:p w:rsidR="00276529" w:rsidRDefault="00276529" w:rsidP="00276529">
      <w:pPr>
        <w:widowControl w:val="0"/>
        <w:ind w:right="408" w:firstLine="709"/>
        <w:jc w:val="right"/>
        <w:rPr>
          <w:iCs/>
          <w:color w:val="000000"/>
        </w:rPr>
      </w:pPr>
    </w:p>
    <w:p w:rsidR="00276529" w:rsidRDefault="00276529" w:rsidP="00276529">
      <w:pPr>
        <w:widowControl w:val="0"/>
        <w:ind w:right="408" w:firstLine="709"/>
        <w:jc w:val="right"/>
        <w:rPr>
          <w:iCs/>
          <w:color w:val="000000"/>
        </w:rPr>
      </w:pPr>
      <w:r>
        <w:rPr>
          <w:iCs/>
          <w:color w:val="000000"/>
        </w:rPr>
        <w:t>Таблица 1</w:t>
      </w:r>
    </w:p>
    <w:p w:rsidR="00276529" w:rsidRDefault="00276529" w:rsidP="00276529">
      <w:pPr>
        <w:ind w:firstLine="539"/>
        <w:jc w:val="center"/>
        <w:rPr>
          <w:b/>
        </w:rPr>
      </w:pPr>
      <w:r>
        <w:rPr>
          <w:b/>
        </w:rPr>
        <w:t>Структура дисциплины</w:t>
      </w:r>
    </w:p>
    <w:p w:rsidR="00276529" w:rsidRDefault="00276529" w:rsidP="00276529">
      <w:pPr>
        <w:ind w:firstLine="53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066"/>
        <w:gridCol w:w="785"/>
        <w:gridCol w:w="1534"/>
        <w:gridCol w:w="1585"/>
      </w:tblGrid>
      <w:tr w:rsidR="00276529" w:rsidTr="00276529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</w:tr>
      <w:tr w:rsidR="00276529" w:rsidTr="00276529">
        <w:trPr>
          <w:trHeight w:val="255"/>
        </w:trPr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29" w:rsidRDefault="0027652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29" w:rsidRDefault="0027652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29" w:rsidRDefault="0027652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Аудиторные лекции</w:t>
            </w:r>
          </w:p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(час.)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 </w:t>
            </w:r>
          </w:p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 элементами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дистанц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обучения</w:t>
            </w:r>
          </w:p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(час</w:t>
            </w:r>
            <w:r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276529" w:rsidTr="0035201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352012">
            <w:pPr>
              <w:spacing w:line="254" w:lineRule="auto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Нормативно-правовые акты, регулирующие порядок налогообложения организаций и физических лиц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76529" w:rsidTr="00352012">
        <w:trPr>
          <w:trHeight w:val="2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352012" w:rsidP="00F152B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Общие условия установления налогов, сборов, страховых взносов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6529" w:rsidTr="0035201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352012">
            <w:pPr>
              <w:shd w:val="clear" w:color="auto" w:fill="FFFFFF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Налоговые режимы для организаций и ИП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6529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352012" w:rsidP="003508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 налоговых платежей и экономическая безопасность налогопл</w:t>
            </w:r>
            <w:r w:rsidR="00463725">
              <w:rPr>
                <w:lang w:eastAsia="en-US"/>
              </w:rPr>
              <w:t>а</w:t>
            </w:r>
            <w:r>
              <w:rPr>
                <w:lang w:eastAsia="en-US"/>
              </w:rPr>
              <w:t>тельщиков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52012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добавленную стоимость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52012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 w:rsidP="0035201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прибыль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52012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Региональные и местные налоги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52012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(НДФЛ)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352012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12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52BF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Взносы на обязательное социальное страхование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52BF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налоговые режимы для организаций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52BF" w:rsidTr="00352012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налоговые режимы для ИП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F" w:rsidRDefault="00F152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76529" w:rsidTr="00276529"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F152B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27652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9" w:rsidRDefault="00F152B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</w:tbl>
    <w:p w:rsidR="00276529" w:rsidRDefault="00276529" w:rsidP="00276529"/>
    <w:p w:rsidR="00276529" w:rsidRDefault="00276529" w:rsidP="00276529">
      <w:pPr>
        <w:pStyle w:val="Iauiue"/>
        <w:ind w:firstLine="700"/>
        <w:rPr>
          <w:sz w:val="24"/>
          <w:szCs w:val="24"/>
          <w:lang w:val="ru-RU"/>
        </w:rPr>
      </w:pPr>
    </w:p>
    <w:p w:rsidR="00276529" w:rsidRDefault="00276529" w:rsidP="00276529">
      <w:pPr>
        <w:autoSpaceDE w:val="0"/>
        <w:autoSpaceDN w:val="0"/>
        <w:adjustRightInd w:val="0"/>
        <w:jc w:val="right"/>
        <w:rPr>
          <w:rFonts w:eastAsia="HiddenHorzOCR"/>
          <w:color w:val="000000"/>
        </w:rPr>
      </w:pPr>
      <w:r>
        <w:rPr>
          <w:rFonts w:eastAsia="HiddenHorzOCR"/>
          <w:color w:val="000000"/>
        </w:rPr>
        <w:t>Таблица 2</w:t>
      </w:r>
    </w:p>
    <w:p w:rsidR="00463725" w:rsidRDefault="00463725" w:rsidP="00276529">
      <w:pPr>
        <w:jc w:val="center"/>
      </w:pPr>
    </w:p>
    <w:p w:rsidR="00276529" w:rsidRDefault="00276529" w:rsidP="00276529">
      <w:pPr>
        <w:jc w:val="center"/>
      </w:pPr>
      <w:r>
        <w:t>Содержание дисциплины</w:t>
      </w: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861"/>
        <w:gridCol w:w="2679"/>
        <w:gridCol w:w="6129"/>
      </w:tblGrid>
      <w:tr w:rsidR="00276529" w:rsidTr="00276529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29" w:rsidRDefault="00276529">
            <w:pPr>
              <w:pStyle w:val="a6"/>
              <w:spacing w:line="254" w:lineRule="auto"/>
              <w:ind w:left="0"/>
              <w:rPr>
                <w:sz w:val="24"/>
                <w:szCs w:val="24"/>
                <w:lang w:eastAsia="en-US"/>
              </w:rPr>
            </w:pPr>
            <w:bookmarkStart w:id="1" w:name="_Toc344198634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29" w:rsidRDefault="00276529">
            <w:pPr>
              <w:pStyle w:val="a6"/>
              <w:spacing w:line="254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276529" w:rsidRDefault="00276529">
            <w:pPr>
              <w:pStyle w:val="a6"/>
              <w:spacing w:line="254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раздела </w:t>
            </w:r>
          </w:p>
          <w:p w:rsidR="00276529" w:rsidRDefault="00276529">
            <w:pPr>
              <w:pStyle w:val="a6"/>
              <w:spacing w:line="254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529" w:rsidRDefault="00276529">
            <w:pPr>
              <w:pStyle w:val="a6"/>
              <w:spacing w:line="254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раздела дисциплины</w:t>
            </w:r>
          </w:p>
        </w:tc>
      </w:tr>
      <w:tr w:rsidR="00276529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276529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922F43" w:rsidP="00922F43">
            <w:pPr>
              <w:shd w:val="clear" w:color="auto" w:fill="FFFFFF"/>
              <w:ind w:firstLine="709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Нормативно-</w:t>
            </w:r>
            <w:r>
              <w:rPr>
                <w:bCs/>
                <w:color w:val="000000"/>
                <w:lang w:eastAsia="en-US"/>
              </w:rPr>
              <w:lastRenderedPageBreak/>
              <w:t>правовые акты, регулирующие порядок налогообложения организаций и физических лиц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43" w:rsidRDefault="00491328" w:rsidP="00922F43">
            <w:pPr>
              <w:ind w:left="709" w:hanging="709"/>
              <w:jc w:val="both"/>
              <w:rPr>
                <w:bCs/>
                <w:iCs/>
              </w:rPr>
            </w:pPr>
            <w:r>
              <w:lastRenderedPageBreak/>
              <w:t xml:space="preserve">Классификация </w:t>
            </w:r>
            <w:r w:rsidR="00922F43">
              <w:t>н</w:t>
            </w:r>
            <w:r>
              <w:rPr>
                <w:bCs/>
                <w:iCs/>
              </w:rPr>
              <w:t xml:space="preserve">ормативно-правовых актов по </w:t>
            </w:r>
            <w:r>
              <w:rPr>
                <w:bCs/>
                <w:iCs/>
              </w:rPr>
              <w:lastRenderedPageBreak/>
              <w:t xml:space="preserve">налогообложению </w:t>
            </w:r>
            <w:r w:rsidR="00922F43">
              <w:rPr>
                <w:bCs/>
                <w:iCs/>
              </w:rPr>
              <w:t xml:space="preserve">организаций и </w:t>
            </w:r>
            <w:r w:rsidR="00922F43">
              <w:t xml:space="preserve">физических лиц. </w:t>
            </w:r>
            <w:r w:rsidR="00922F43">
              <w:rPr>
                <w:bCs/>
                <w:iCs/>
              </w:rPr>
              <w:t xml:space="preserve"> Порядок вступления в действие нормативных актов. </w:t>
            </w:r>
            <w:r w:rsidR="00922F43">
              <w:rPr>
                <w:bCs/>
              </w:rPr>
              <w:t xml:space="preserve">Налоговые риски, связанные с особенностями налогового законодательства и способы их снижения. </w:t>
            </w:r>
            <w:r w:rsidR="00922F43">
              <w:rPr>
                <w:bCs/>
                <w:iCs/>
              </w:rPr>
              <w:t>Толкование норм налогового законодательства. Статус писем Министерства финансов РФ и Федеральной налоговой службы. Использование судебной практики.</w:t>
            </w:r>
          </w:p>
          <w:p w:rsidR="00922F43" w:rsidRDefault="00922F43" w:rsidP="00922F43">
            <w:pPr>
              <w:ind w:left="709" w:hanging="709"/>
              <w:jc w:val="both"/>
              <w:rPr>
                <w:bCs/>
                <w:iCs/>
              </w:rPr>
            </w:pPr>
            <w:r>
              <w:rPr>
                <w:iCs/>
                <w:color w:val="000000"/>
              </w:rPr>
              <w:t xml:space="preserve">Информационное обеспечение налогоплательщиков (налоговых агентов, плательщиков взносов): информационно-справочные системы, содержащие нормативно-правовые акты, регулирующие налогообложение организаций и физических лиц, информационные системы налоговых органов, содержащие разъяснения уполномоченных органов по порядку исчисления налогов, сборов, взносов. </w:t>
            </w:r>
            <w:r>
              <w:rPr>
                <w:bCs/>
                <w:iCs/>
              </w:rPr>
              <w:t xml:space="preserve"> </w:t>
            </w:r>
          </w:p>
          <w:p w:rsidR="00276529" w:rsidRDefault="00707A72">
            <w:pPr>
              <w:spacing w:line="256" w:lineRule="auto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</w:t>
            </w:r>
          </w:p>
        </w:tc>
      </w:tr>
      <w:tr w:rsidR="00276529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276529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922F43" w:rsidP="001A3113">
            <w:pPr>
              <w:rPr>
                <w:lang w:eastAsia="en-US"/>
              </w:rPr>
            </w:pPr>
            <w:r>
              <w:rPr>
                <w:lang w:eastAsia="en-US"/>
              </w:rPr>
              <w:t>Общие условия установления налогов, сборов, страховых взносов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922F43" w:rsidP="001A3113">
            <w:pPr>
              <w:jc w:val="both"/>
            </w:pPr>
            <w:r>
              <w:rPr>
                <w:bCs/>
                <w:iCs/>
              </w:rPr>
              <w:t>Понятие налога</w:t>
            </w:r>
            <w:r w:rsidR="00707A72">
              <w:rPr>
                <w:bCs/>
                <w:iCs/>
              </w:rPr>
              <w:t>,</w:t>
            </w:r>
            <w:r w:rsidR="00463725">
              <w:rPr>
                <w:bCs/>
                <w:iCs/>
              </w:rPr>
              <w:t xml:space="preserve"> </w:t>
            </w:r>
            <w:r w:rsidR="00707A72">
              <w:rPr>
                <w:bCs/>
                <w:iCs/>
              </w:rPr>
              <w:t>с</w:t>
            </w:r>
            <w:r w:rsidR="00463725">
              <w:rPr>
                <w:bCs/>
                <w:iCs/>
              </w:rPr>
              <w:t xml:space="preserve">бора, </w:t>
            </w:r>
            <w:r w:rsidR="00707A72">
              <w:rPr>
                <w:bCs/>
                <w:iCs/>
              </w:rPr>
              <w:t>с</w:t>
            </w:r>
            <w:r w:rsidR="00463725">
              <w:rPr>
                <w:bCs/>
                <w:iCs/>
              </w:rPr>
              <w:t>трахового</w:t>
            </w:r>
            <w:r w:rsidR="00707A72">
              <w:rPr>
                <w:bCs/>
                <w:iCs/>
              </w:rPr>
              <w:t xml:space="preserve"> взноса.</w:t>
            </w:r>
            <w:r>
              <w:rPr>
                <w:bCs/>
                <w:iCs/>
              </w:rPr>
              <w:t xml:space="preserve"> Классификация налогов</w:t>
            </w:r>
            <w:r w:rsidR="00707A72">
              <w:rPr>
                <w:bCs/>
                <w:iCs/>
              </w:rPr>
              <w:t>, виды страховых взносов.</w:t>
            </w:r>
            <w:r>
              <w:rPr>
                <w:bCs/>
                <w:iCs/>
              </w:rPr>
              <w:t xml:space="preserve"> Функции налогов.</w:t>
            </w:r>
            <w:r w:rsidR="00707A72">
              <w:rPr>
                <w:bCs/>
                <w:iCs/>
              </w:rPr>
              <w:t xml:space="preserve"> Участники налоговых правоотношений. Правовой статус налогоплательщиков, налоговых агентов, плательщиков взносов, налоговых органов. Полномочия Министерства финансов РФ, органов внутренних дел, таможенных органов. Общие условия установления  налогов.  Характеристика основных элементов налогообложения. </w:t>
            </w:r>
            <w:r>
              <w:rPr>
                <w:bCs/>
                <w:iCs/>
              </w:rPr>
              <w:t xml:space="preserve"> </w:t>
            </w:r>
            <w:r w:rsidR="00707A72">
              <w:rPr>
                <w:bCs/>
                <w:iCs/>
              </w:rPr>
              <w:t>Цели и задачи налогового учёта. Учётная политика для целей налогообложения.</w:t>
            </w:r>
            <w:r w:rsidR="001A3113">
              <w:t xml:space="preserve"> Взносы на обязательное социальное страхование.  Основные элементы обложения.</w:t>
            </w:r>
            <w:r w:rsidR="001A3113">
              <w:rPr>
                <w:iCs/>
                <w:color w:val="000000"/>
              </w:rPr>
              <w:t xml:space="preserve"> Программные средства, позволяющие автоматизировать ведение налогового учёта, составление налоговой отчётности. Введение электронного документооборота между участниками налоговых правоотношений.</w:t>
            </w:r>
          </w:p>
          <w:p w:rsidR="00922F43" w:rsidRDefault="00922F43" w:rsidP="001A3113">
            <w:pPr>
              <w:shd w:val="clear" w:color="auto" w:fill="FFFFFF"/>
              <w:ind w:firstLine="709"/>
              <w:jc w:val="both"/>
              <w:rPr>
                <w:lang w:eastAsia="en-US"/>
              </w:rPr>
            </w:pPr>
          </w:p>
        </w:tc>
      </w:tr>
      <w:tr w:rsidR="00276529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276529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707A7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Налоговые режимы для организаций и ИП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28" w:rsidRDefault="001A3113" w:rsidP="0049132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    Налоговые режимы для организаций</w:t>
            </w:r>
            <w:r w:rsidR="00350804">
              <w:rPr>
                <w:bCs/>
                <w:color w:val="000000"/>
              </w:rPr>
              <w:t xml:space="preserve"> и</w:t>
            </w:r>
            <w:r w:rsidR="00491328">
              <w:rPr>
                <w:bCs/>
                <w:color w:val="000000"/>
              </w:rPr>
              <w:t xml:space="preserve"> ИП,</w:t>
            </w:r>
            <w:r>
              <w:rPr>
                <w:bCs/>
                <w:color w:val="000000"/>
              </w:rPr>
              <w:t xml:space="preserve"> установленные действующим законодательством. Общая система налогообложения и специальные налоговые режимы. Сравнительный анализ налоговой нагрузки и налоговых рисков при различных налоговых режимах</w:t>
            </w:r>
            <w:r w:rsidR="00491328">
              <w:rPr>
                <w:bCs/>
                <w:color w:val="000000"/>
              </w:rPr>
              <w:t>.</w:t>
            </w:r>
          </w:p>
        </w:tc>
      </w:tr>
      <w:tr w:rsidR="00276529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276529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1A3113" w:rsidP="00491328">
            <w:pPr>
              <w:rPr>
                <w:lang w:eastAsia="en-US"/>
              </w:rPr>
            </w:pPr>
            <w:r>
              <w:rPr>
                <w:lang w:eastAsia="en-US"/>
              </w:rPr>
              <w:t>Планирование налоговых платежей и экономическая безопасность налогоплательщиков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29" w:rsidRDefault="00491328" w:rsidP="00491328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Цель</w:t>
            </w:r>
            <w:r>
              <w:rPr>
                <w:bCs/>
                <w:color w:val="000000"/>
              </w:rPr>
              <w:t xml:space="preserve"> планирования налоговых платежей. Налоговая нагрузка и факторы, влияющие на показатель налоговой нагрузки. Бюджет расчётов по налогам и сборам для предприятий, работающих по различным налоговым режимам. </w:t>
            </w:r>
            <w:r>
              <w:rPr>
                <w:bCs/>
                <w:iCs/>
              </w:rPr>
              <w:t xml:space="preserve">Срок и порядок уплаты налога как элемент налогообложения. Возникновение обязанности по уплате налога. Формы исполнения обязанностей по уплате налога. Изменение срока уплаты налога. Условия предоставления отсрочки, рассрочки, инвестиционного налогового кредита.  </w:t>
            </w:r>
            <w:r>
              <w:rPr>
                <w:bCs/>
                <w:color w:val="000000"/>
              </w:rPr>
              <w:t xml:space="preserve">Задачи обеспечения исполнения налоговых обязательств. Влияние нарушений сроков </w:t>
            </w:r>
            <w:r>
              <w:rPr>
                <w:bCs/>
                <w:color w:val="000000"/>
              </w:rPr>
              <w:lastRenderedPageBreak/>
              <w:t>проведения расчётов с бюджетом на экономическую безопасность хозяйствующего субъекта.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добавленную стоимость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28" w:rsidRDefault="00491328" w:rsidP="00491328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Плательщики НДС. Условия получения налогового освобождения по НДС. Функции налогового агента в целях НДС.</w:t>
            </w:r>
          </w:p>
          <w:p w:rsidR="001A3113" w:rsidRDefault="00491328" w:rsidP="0035080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</w:rPr>
              <w:t>Объекты налогообложения по НДС, особенности формирования налоговой базы</w:t>
            </w:r>
            <w:r w:rsidR="00350804">
              <w:rPr>
                <w:bCs/>
              </w:rPr>
              <w:t>.</w:t>
            </w:r>
            <w:r w:rsidRPr="00350804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Ставки НДС. Понятие налоговых вычетов по НДС, условия их предоставления.  Документооборот при расчётах с бюджетом по НДС. Требования к первичным документам, счетам-фактурам и регистрам налогового учёта по НДС. Влияние условий заключения хозяйственных договоров на налоговые платежи по НДС. Раздельный учёт в целях НДС. Порядок расчётов с бюджетом по НДС.</w:t>
            </w:r>
            <w:r>
              <w:rPr>
                <w:bCs/>
                <w:color w:val="000000"/>
              </w:rPr>
              <w:t xml:space="preserve"> Особенности расчётов с бюджетом по НДС экспортёрами. Налоговый период, порядок и сроки уплаты. Учётная политика в целях НДС. 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Налог на прибыль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28" w:rsidRDefault="00491328" w:rsidP="00491328">
            <w:pPr>
              <w:jc w:val="both"/>
            </w:pPr>
            <w:r>
              <w:t>Плательщики налога. Объект налогообложения. Классификация доходов и расходов. Методы признания доходов и расходов. Налоговый и отчётный период. Ставки налога на прибыль.</w:t>
            </w:r>
            <w:r w:rsidR="00350804">
              <w:t xml:space="preserve"> Учётная политика для целей налогообложения прибыли.</w:t>
            </w:r>
          </w:p>
          <w:p w:rsidR="00900C00" w:rsidRDefault="009A1C00" w:rsidP="00900C00">
            <w:pPr>
              <w:jc w:val="both"/>
            </w:pPr>
            <w:r>
              <w:rPr>
                <w:i/>
              </w:rPr>
              <w:t xml:space="preserve">Особенности </w:t>
            </w:r>
            <w:r>
              <w:t xml:space="preserve">формирования налоговой базы по налогу на прибыль: порядок признания в налоговой базе доходов от реализации товаров (работ, услуг) и </w:t>
            </w:r>
            <w:r w:rsidR="00900C00">
              <w:t xml:space="preserve">условия признания в налоговой базе </w:t>
            </w:r>
            <w:r>
              <w:t xml:space="preserve">расходов по производству и реализации товаров (работ, услуг). Состав внереализационных  доходов и расходов,  порядок их признания в налоговой базе. </w:t>
            </w:r>
            <w:r w:rsidR="00900C00">
              <w:t>Договорная политика организации и её влияние на налоговые платежи.</w:t>
            </w:r>
          </w:p>
          <w:p w:rsidR="001A3113" w:rsidRDefault="00900C00" w:rsidP="00900C00">
            <w:pPr>
              <w:jc w:val="both"/>
              <w:rPr>
                <w:lang w:eastAsia="en-US"/>
              </w:rPr>
            </w:pPr>
            <w:r>
              <w:t>Особый порядок признания убытков, полученных по отдельным сделкам при налогообложении прибыли. Понятие инвестиционного налогового вычета.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и местные налоги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CE" w:rsidRDefault="00D009CE" w:rsidP="00D009CE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Нормативно-правовые акты, регулирующие порядок исчисления имущественных налогов и проведение расчётов с бюджетом по имущественным налогам.</w:t>
            </w:r>
          </w:p>
          <w:p w:rsidR="00D009CE" w:rsidRPr="00DC7D3E" w:rsidRDefault="00D009CE" w:rsidP="00DC7D3E">
            <w:pPr>
              <w:pStyle w:val="23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Налог на иму</w:t>
            </w:r>
            <w:r w:rsidR="00900C00">
              <w:rPr>
                <w:i w:val="0"/>
                <w:sz w:val="24"/>
                <w:szCs w:val="24"/>
              </w:rPr>
              <w:t xml:space="preserve">щество организаций. Плательщики </w:t>
            </w:r>
            <w:r>
              <w:rPr>
                <w:i w:val="0"/>
                <w:sz w:val="24"/>
                <w:szCs w:val="24"/>
              </w:rPr>
              <w:t>налога.  Объект налогообложения. Особенности формирования налоговой базы</w:t>
            </w:r>
            <w:r w:rsidR="00900C00"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4"/>
              </w:rPr>
              <w:t xml:space="preserve"> Документооборот при проведении расчётов с бюджетом по налогу на имущество.Ставки  налога</w:t>
            </w:r>
            <w:r w:rsidR="00900C00">
              <w:rPr>
                <w:i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t>льготы</w:t>
            </w:r>
            <w:r w:rsidR="00900C00">
              <w:rPr>
                <w:i w:val="0"/>
                <w:sz w:val="24"/>
                <w:szCs w:val="24"/>
              </w:rPr>
              <w:t>,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900C00">
              <w:rPr>
                <w:i w:val="0"/>
                <w:sz w:val="24"/>
                <w:szCs w:val="24"/>
              </w:rPr>
              <w:t>н</w:t>
            </w:r>
            <w:r>
              <w:rPr>
                <w:i w:val="0"/>
                <w:sz w:val="24"/>
                <w:szCs w:val="24"/>
              </w:rPr>
              <w:t xml:space="preserve">алоговый и отчётный период. </w:t>
            </w:r>
            <w:r w:rsidR="00900C00">
              <w:rPr>
                <w:i w:val="0"/>
                <w:sz w:val="24"/>
                <w:szCs w:val="24"/>
              </w:rPr>
              <w:t>Порядок и с</w:t>
            </w:r>
            <w:r>
              <w:rPr>
                <w:i w:val="0"/>
                <w:sz w:val="24"/>
                <w:szCs w:val="24"/>
              </w:rPr>
              <w:t>роки уплаты налога</w:t>
            </w:r>
            <w:r w:rsidR="00900C00">
              <w:rPr>
                <w:i w:val="0"/>
                <w:sz w:val="24"/>
                <w:szCs w:val="24"/>
              </w:rPr>
              <w:t>, в том числе</w:t>
            </w:r>
            <w:r w:rsidR="00DC7D3E">
              <w:rPr>
                <w:i w:val="0"/>
                <w:sz w:val="24"/>
                <w:szCs w:val="24"/>
              </w:rPr>
              <w:t xml:space="preserve"> </w:t>
            </w:r>
            <w:r w:rsidRPr="00DC7D3E">
              <w:rPr>
                <w:i w:val="0"/>
                <w:sz w:val="24"/>
                <w:szCs w:val="24"/>
              </w:rPr>
              <w:t>лиц</w:t>
            </w:r>
            <w:r w:rsidR="00900C00" w:rsidRPr="00DC7D3E">
              <w:rPr>
                <w:i w:val="0"/>
                <w:sz w:val="24"/>
                <w:szCs w:val="24"/>
              </w:rPr>
              <w:t>ами, имеющими</w:t>
            </w:r>
            <w:r w:rsidRPr="00DC7D3E">
              <w:rPr>
                <w:i w:val="0"/>
                <w:sz w:val="24"/>
                <w:szCs w:val="24"/>
              </w:rPr>
              <w:t xml:space="preserve"> филиалы и объекты недвижимости, находящиеся вне места нахождения организации.</w:t>
            </w:r>
          </w:p>
          <w:p w:rsidR="00D009CE" w:rsidRDefault="00D009CE" w:rsidP="00D009CE">
            <w:pPr>
              <w:ind w:left="709" w:firstLine="709"/>
              <w:jc w:val="both"/>
            </w:pPr>
            <w:r>
              <w:t>Транспортный налог. Плательщики. Объекты налогообложения</w:t>
            </w:r>
            <w:r w:rsidR="00DC7D3E">
              <w:t>.</w:t>
            </w:r>
            <w:r>
              <w:t xml:space="preserve"> Особенности формирования налоговой базы: в случае приобретения или отчуждения транспортных средств в течение налогового период</w:t>
            </w:r>
            <w:r w:rsidR="00900C00">
              <w:t>а</w:t>
            </w:r>
            <w:r w:rsidR="00DC7D3E">
              <w:t>.</w:t>
            </w:r>
            <w:r w:rsidR="00900C00">
              <w:t xml:space="preserve"> </w:t>
            </w:r>
            <w:r>
              <w:t xml:space="preserve">Ставки </w:t>
            </w:r>
            <w:r>
              <w:lastRenderedPageBreak/>
              <w:t>налога и порядок их установления. Налоговый период и отчётный период.</w:t>
            </w:r>
            <w:r w:rsidR="00DC7D3E">
              <w:t xml:space="preserve"> Порядок и сроки уплаты налога.</w:t>
            </w:r>
          </w:p>
          <w:p w:rsidR="00D009CE" w:rsidRDefault="00D009CE" w:rsidP="00D009CE">
            <w:pPr>
              <w:ind w:left="709" w:firstLine="709"/>
              <w:jc w:val="both"/>
            </w:pPr>
            <w:r>
              <w:t xml:space="preserve">Земельный налог. Плательщики. </w:t>
            </w:r>
            <w:r w:rsidR="00DC7D3E">
              <w:t xml:space="preserve">Объект налогообложения и налоговая база. </w:t>
            </w:r>
            <w:r>
              <w:t xml:space="preserve">Особенности расчёта налоговой базы в случае приобретения или отчуждения земельного участка в течение налогового периода. Ставки налога. Налоговый </w:t>
            </w:r>
            <w:r w:rsidR="00DC7D3E">
              <w:t xml:space="preserve"> и отчётный </w:t>
            </w:r>
            <w:r>
              <w:t xml:space="preserve">период. </w:t>
            </w:r>
            <w:r w:rsidR="00DC7D3E">
              <w:t>Порядок и сроки уплаты налога.</w:t>
            </w:r>
          </w:p>
          <w:p w:rsidR="001A3113" w:rsidRDefault="001A3113" w:rsidP="00DC7D3E">
            <w:pPr>
              <w:ind w:left="709" w:firstLine="709"/>
              <w:jc w:val="both"/>
              <w:rPr>
                <w:lang w:eastAsia="en-US"/>
              </w:rPr>
            </w:pP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(НДФЛ)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CE" w:rsidRDefault="00D009CE" w:rsidP="00D009CE">
            <w:pPr>
              <w:jc w:val="both"/>
            </w:pPr>
            <w:r>
              <w:t>Плательщики налога. Функции организации как налогового агента. Особенности налогообложения доходов физических лиц (резидентов и нерезидентов). Ставки  налога для различных видов доходов физических лиц.</w:t>
            </w:r>
          </w:p>
          <w:p w:rsidR="008632B9" w:rsidRDefault="00D009CE" w:rsidP="00DC7D3E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Общие принципы налогообложения доходов физических лиц. Понятие </w:t>
            </w:r>
            <w:proofErr w:type="spellStart"/>
            <w:r>
              <w:rPr>
                <w:szCs w:val="24"/>
              </w:rPr>
              <w:t>персонофицированного</w:t>
            </w:r>
            <w:proofErr w:type="spellEnd"/>
            <w:r>
              <w:rPr>
                <w:szCs w:val="24"/>
              </w:rPr>
              <w:t xml:space="preserve"> учёта в целях НДФЛ. Объекты налогообложения. Порядок определения годового совокупного налогооблагаемого дохода физических лиц. Основные виды доходов, включаемых в облагаемый совокупный доход. Вычеты, установленные законодательством, и порядок их предоставления. Декларирование доходов. Порядок представления физическими лицами декларации о полученных доходах. Порядок расчётов с бюджетом по НДФЛ.</w:t>
            </w:r>
          </w:p>
          <w:p w:rsidR="001A3113" w:rsidRDefault="00D64C58" w:rsidP="00D64C5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    </w:t>
            </w:r>
            <w:r w:rsidR="008632B9">
              <w:rPr>
                <w:bCs/>
                <w:color w:val="000000"/>
              </w:rPr>
              <w:t>Особенности формирования налоговой базы по НДФЛ</w:t>
            </w:r>
            <w:r>
              <w:rPr>
                <w:bCs/>
                <w:color w:val="000000"/>
              </w:rPr>
              <w:t xml:space="preserve"> индивидуальным предпринимателем, работающим по общей системе налогообложения.</w:t>
            </w:r>
            <w:r w:rsidR="008632B9">
              <w:rPr>
                <w:bCs/>
                <w:color w:val="000000"/>
              </w:rPr>
              <w:t xml:space="preserve"> Порядок расчёта и уплаты авансовых платежей по НДФЛ. Отчётность перед налоговыми органами. 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8632B9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Взносы на обязательное социальное страхование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CE" w:rsidRDefault="00D009CE" w:rsidP="00DC7D3E">
            <w:pPr>
              <w:pStyle w:val="23"/>
              <w:ind w:left="784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Плательщики страховых взносов. Объект обложения, особенности формирования  базы. Индивидуальный учёт в целях страховых взносов. Тарифы взносов. Порядок применения пониженных тарифов. Формы и условия заключения договоров между организацией и физическим лицом и их влияние на величину взносов.</w:t>
            </w:r>
          </w:p>
          <w:p w:rsidR="001A3113" w:rsidRDefault="00D009CE" w:rsidP="008632B9">
            <w:pPr>
              <w:pStyle w:val="23"/>
              <w:jc w:val="both"/>
              <w:rPr>
                <w:lang w:eastAsia="en-US"/>
              </w:rPr>
            </w:pPr>
            <w:r>
              <w:rPr>
                <w:i w:val="0"/>
                <w:sz w:val="24"/>
                <w:szCs w:val="24"/>
              </w:rPr>
              <w:t>Порядок расчётов страховых взносов индивидуальными предпринимателями и лицами, занимающимися частной практикой.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Специальные налоговые режимы для организаций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CE" w:rsidRDefault="00D009CE" w:rsidP="00D009CE">
            <w:pPr>
              <w:ind w:left="709" w:firstLine="709"/>
              <w:jc w:val="both"/>
            </w:pPr>
            <w:r>
              <w:t>Упрощённая система налогообложения. Порядок и условия перехода на упрощённую систему налогообложения.</w:t>
            </w:r>
          </w:p>
          <w:p w:rsidR="008632B9" w:rsidRDefault="00D009CE" w:rsidP="00D009CE">
            <w:pPr>
              <w:ind w:left="709" w:firstLine="709"/>
              <w:jc w:val="both"/>
            </w:pPr>
            <w:r>
              <w:t>Объекты налогообложения. Выбор объекта налогообложения и порядок изменения объекта налогообложения. Особенности формирования налоговой базы</w:t>
            </w:r>
            <w:r w:rsidR="008632B9">
              <w:t xml:space="preserve"> по единому налогу, связанному с применением УСН.</w:t>
            </w:r>
            <w:r>
              <w:t xml:space="preserve"> Метод признания доходов и </w:t>
            </w:r>
            <w:r>
              <w:lastRenderedPageBreak/>
              <w:t xml:space="preserve">расходов. Ставки налога. Налоговый период. </w:t>
            </w:r>
          </w:p>
          <w:p w:rsidR="00D009CE" w:rsidRDefault="008632B9" w:rsidP="00D009CE">
            <w:pPr>
              <w:ind w:left="709" w:firstLine="709"/>
              <w:jc w:val="both"/>
            </w:pPr>
            <w:r>
              <w:t xml:space="preserve">Порядок расчётов с бюджетом. </w:t>
            </w:r>
            <w:r w:rsidR="00D009CE">
              <w:t xml:space="preserve">Минимальный налог при упрощённой системе налогообложения. </w:t>
            </w:r>
          </w:p>
          <w:p w:rsidR="001A3113" w:rsidRDefault="008632B9" w:rsidP="008632B9">
            <w:pPr>
              <w:ind w:left="709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применения системы налогообложения для сельскохозяйственных товаропроизводителей.</w:t>
            </w:r>
          </w:p>
          <w:p w:rsidR="008632B9" w:rsidRDefault="008632B9" w:rsidP="008632B9">
            <w:pPr>
              <w:ind w:left="709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применения системы налогообложения при выполнении соглашений о разделе продукции.</w:t>
            </w:r>
          </w:p>
        </w:tc>
      </w:tr>
      <w:tr w:rsidR="001A3113" w:rsidTr="00922F4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723EC9">
            <w:pPr>
              <w:pStyle w:val="a6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3" w:rsidRDefault="001A3113" w:rsidP="001A311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Специальные налоговые режимы для ИП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58" w:rsidRDefault="00D009CE" w:rsidP="00D009CE">
            <w:pPr>
              <w:ind w:left="709" w:firstLine="709"/>
              <w:jc w:val="both"/>
            </w:pPr>
            <w:r>
              <w:rPr>
                <w:bCs/>
                <w:color w:val="000000"/>
              </w:rPr>
              <w:t>Упрощённая система налогообложения.</w:t>
            </w:r>
            <w:r>
              <w:t xml:space="preserve"> Порядок и условия перехода на упрощённую систему налогообложения. Выбор объекта налогообложения и порядок изменения объекта налогообложения. Особенности формирования налоговой базы. Метод признания доходов и расходов. Ставки налога. Налоговый период. </w:t>
            </w:r>
            <w:r w:rsidR="00D64C58">
              <w:t xml:space="preserve">Порядок расчётов с бюджетом по единому налогу, связанному с применением УСН. </w:t>
            </w:r>
            <w:r>
              <w:t xml:space="preserve">Минимальный налог при упрощённой системе налогообложения. </w:t>
            </w:r>
          </w:p>
          <w:p w:rsidR="00D009CE" w:rsidRDefault="00D009CE" w:rsidP="00D009CE">
            <w:pPr>
              <w:ind w:left="709" w:firstLine="709"/>
              <w:jc w:val="both"/>
            </w:pPr>
            <w:r>
              <w:t>Патентная система налогообложения для ИП.</w:t>
            </w:r>
            <w:r w:rsidR="00D64C58">
              <w:t xml:space="preserve"> Порядок перехода на патентную систему налогообложения, порядок расчётов с бюджетом.</w:t>
            </w:r>
          </w:p>
          <w:p w:rsidR="00D64C58" w:rsidRDefault="00D64C58" w:rsidP="00D009CE">
            <w:pPr>
              <w:ind w:left="709" w:firstLine="709"/>
              <w:jc w:val="both"/>
            </w:pPr>
            <w:r>
              <w:t>Регистрация физического лица в качестве плательщика налога на профессиональный доход, порядок расчётов с бюджетом.</w:t>
            </w:r>
          </w:p>
          <w:p w:rsidR="001A3113" w:rsidRDefault="001A311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bookmarkEnd w:id="1"/>
    </w:tbl>
    <w:p w:rsidR="00276529" w:rsidRDefault="00276529" w:rsidP="00276529">
      <w:pPr>
        <w:pStyle w:val="1"/>
        <w:rPr>
          <w:color w:val="auto"/>
          <w:sz w:val="24"/>
          <w:szCs w:val="24"/>
        </w:rPr>
      </w:pPr>
    </w:p>
    <w:p w:rsidR="00276529" w:rsidRDefault="00276529" w:rsidP="00276529">
      <w:pPr>
        <w:pStyle w:val="1"/>
        <w:rPr>
          <w:color w:val="auto"/>
          <w:sz w:val="24"/>
          <w:szCs w:val="24"/>
        </w:rPr>
      </w:pPr>
    </w:p>
    <w:p w:rsidR="00276529" w:rsidRPr="00276529" w:rsidRDefault="00276529" w:rsidP="00276529">
      <w:pPr>
        <w:jc w:val="center"/>
        <w:rPr>
          <w:b/>
          <w:color w:val="000000"/>
        </w:rPr>
      </w:pPr>
    </w:p>
    <w:sectPr w:rsidR="00276529" w:rsidRPr="00276529" w:rsidSect="009D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11EF"/>
    <w:multiLevelType w:val="hybridMultilevel"/>
    <w:tmpl w:val="56A09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8D8"/>
    <w:rsid w:val="0003438B"/>
    <w:rsid w:val="000908D8"/>
    <w:rsid w:val="000E209C"/>
    <w:rsid w:val="001137F7"/>
    <w:rsid w:val="00184C97"/>
    <w:rsid w:val="001A3113"/>
    <w:rsid w:val="001A6F4D"/>
    <w:rsid w:val="001A7C54"/>
    <w:rsid w:val="00276529"/>
    <w:rsid w:val="00350804"/>
    <w:rsid w:val="00352012"/>
    <w:rsid w:val="004249D6"/>
    <w:rsid w:val="00463725"/>
    <w:rsid w:val="00491328"/>
    <w:rsid w:val="006D4A42"/>
    <w:rsid w:val="00707A72"/>
    <w:rsid w:val="00723EC9"/>
    <w:rsid w:val="008632B9"/>
    <w:rsid w:val="008D293F"/>
    <w:rsid w:val="00900C00"/>
    <w:rsid w:val="00922F43"/>
    <w:rsid w:val="009659A8"/>
    <w:rsid w:val="009A1C00"/>
    <w:rsid w:val="009D2B91"/>
    <w:rsid w:val="00A71ACB"/>
    <w:rsid w:val="00BC0B9C"/>
    <w:rsid w:val="00D009CE"/>
    <w:rsid w:val="00D64C58"/>
    <w:rsid w:val="00DC7D3E"/>
    <w:rsid w:val="00E85607"/>
    <w:rsid w:val="00F152BF"/>
    <w:rsid w:val="00F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766F-C31E-4DBD-AF58-83FD2449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529"/>
    <w:pPr>
      <w:keepNext/>
      <w:ind w:firstLine="709"/>
      <w:jc w:val="both"/>
      <w:outlineLvl w:val="0"/>
    </w:pPr>
    <w:rPr>
      <w:b/>
      <w:color w:val="000000"/>
      <w:spacing w:val="-3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5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529"/>
    <w:rPr>
      <w:rFonts w:ascii="Times New Roman" w:eastAsia="Times New Roman" w:hAnsi="Times New Roman" w:cs="Times New Roman"/>
      <w:b/>
      <w:color w:val="000000"/>
      <w:spacing w:val="-3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65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semiHidden/>
    <w:unhideWhenUsed/>
    <w:rsid w:val="00276529"/>
    <w:pPr>
      <w:ind w:firstLine="386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styleId="a4">
    <w:name w:val="Body Text"/>
    <w:basedOn w:val="a"/>
    <w:link w:val="a5"/>
    <w:unhideWhenUsed/>
    <w:rsid w:val="00276529"/>
    <w:pPr>
      <w:spacing w:after="120"/>
      <w:ind w:firstLine="709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765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6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765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6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76529"/>
    <w:pPr>
      <w:spacing w:after="120" w:line="480" w:lineRule="auto"/>
      <w:ind w:left="283"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765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76529"/>
    <w:pPr>
      <w:ind w:left="720"/>
      <w:contextualSpacing/>
    </w:pPr>
    <w:rPr>
      <w:rFonts w:cs="Tahoma"/>
      <w:sz w:val="28"/>
      <w:szCs w:val="20"/>
    </w:rPr>
  </w:style>
  <w:style w:type="paragraph" w:customStyle="1" w:styleId="Iauiue">
    <w:name w:val="Iau?iue"/>
    <w:semiHidden/>
    <w:rsid w:val="00276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semiHidden/>
    <w:rsid w:val="00276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27652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11">
    <w:name w:val="Обычный1"/>
    <w:semiHidden/>
    <w:rsid w:val="00276529"/>
    <w:pPr>
      <w:widowControl w:val="0"/>
      <w:snapToGrid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ost-i">
    <w:name w:val="post-i"/>
    <w:basedOn w:val="a0"/>
    <w:rsid w:val="00276529"/>
  </w:style>
  <w:style w:type="table" w:styleId="a7">
    <w:name w:val="Table Grid"/>
    <w:basedOn w:val="a1"/>
    <w:uiPriority w:val="59"/>
    <w:rsid w:val="00276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23EC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3">
    <w:name w:val="toc 2"/>
    <w:basedOn w:val="a"/>
    <w:next w:val="a"/>
    <w:autoRedefine/>
    <w:unhideWhenUsed/>
    <w:rsid w:val="00723EC9"/>
    <w:pPr>
      <w:widowControl w:val="0"/>
      <w:tabs>
        <w:tab w:val="right" w:leader="dot" w:pos="9063"/>
      </w:tabs>
      <w:snapToGrid w:val="0"/>
      <w:spacing w:before="40" w:after="40"/>
      <w:ind w:left="1302" w:hanging="518"/>
    </w:pPr>
    <w:rPr>
      <w:i/>
      <w:iCs/>
      <w:noProof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BC0B9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0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"/>
    <w:basedOn w:val="a"/>
    <w:autoRedefine/>
    <w:uiPriority w:val="99"/>
    <w:qFormat/>
    <w:rsid w:val="00BC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/>
      <w:contextualSpacing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Дугина Юлия Игоревна</cp:lastModifiedBy>
  <cp:revision>26</cp:revision>
  <dcterms:created xsi:type="dcterms:W3CDTF">2021-02-20T10:17:00Z</dcterms:created>
  <dcterms:modified xsi:type="dcterms:W3CDTF">2021-04-05T11:22:00Z</dcterms:modified>
</cp:coreProperties>
</file>