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4D" w:rsidRPr="00F441A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8"/>
          <w:szCs w:val="28"/>
        </w:rPr>
      </w:pPr>
      <w:r w:rsidRPr="00F441AD">
        <w:rPr>
          <w:rFonts w:ascii="Times New Roman" w:hAnsi="Times New Roman"/>
          <w:sz w:val="28"/>
          <w:szCs w:val="28"/>
        </w:rPr>
        <w:t xml:space="preserve">Наименование программы </w:t>
      </w:r>
    </w:p>
    <w:p w:rsidR="00C4194D" w:rsidRDefault="00C4194D" w:rsidP="00C4194D">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8"/>
          <w:szCs w:val="28"/>
        </w:rPr>
      </w:pPr>
      <w:r>
        <w:rPr>
          <w:rFonts w:ascii="Times New Roman" w:hAnsi="Times New Roman"/>
          <w:b/>
          <w:sz w:val="28"/>
          <w:szCs w:val="28"/>
        </w:rPr>
        <w:t>«</w:t>
      </w:r>
      <w:bookmarkStart w:id="0" w:name="_GoBack"/>
      <w:r w:rsidR="00327A07" w:rsidRPr="000F7A1B">
        <w:rPr>
          <w:rFonts w:ascii="Times New Roman" w:hAnsi="Times New Roman"/>
          <w:b/>
          <w:sz w:val="28"/>
          <w:szCs w:val="28"/>
          <w:shd w:val="clear" w:color="auto" w:fill="FFFFFF"/>
        </w:rPr>
        <w:t>Анализ движения денежных средств организации</w:t>
      </w:r>
      <w:bookmarkEnd w:id="0"/>
      <w:r w:rsidR="00FC7547">
        <w:rPr>
          <w:rFonts w:ascii="Times New Roman" w:hAnsi="Times New Roman"/>
          <w:b/>
          <w:sz w:val="28"/>
          <w:szCs w:val="28"/>
        </w:rPr>
        <w:t>»</w:t>
      </w:r>
    </w:p>
    <w:p w:rsidR="00C4194D" w:rsidRDefault="00C4194D" w:rsidP="00C465F8">
      <w:pPr>
        <w:suppressAutoHyphens/>
        <w:rPr>
          <w:rFonts w:ascii="Times New Roman" w:hAnsi="Times New Roman"/>
          <w:iCs/>
          <w:sz w:val="24"/>
          <w:szCs w:val="24"/>
        </w:rPr>
      </w:pPr>
    </w:p>
    <w:p w:rsidR="00794158" w:rsidRPr="00794158" w:rsidRDefault="00794158" w:rsidP="00794158">
      <w:pPr>
        <w:spacing w:before="120" w:after="120"/>
        <w:rPr>
          <w:rFonts w:ascii="Times New Roman" w:hAnsi="Times New Roman"/>
          <w:iCs/>
          <w:sz w:val="24"/>
          <w:szCs w:val="24"/>
        </w:rPr>
      </w:pPr>
      <w:r w:rsidRPr="00794158">
        <w:rPr>
          <w:rFonts w:ascii="Times New Roman" w:hAnsi="Times New Roman"/>
          <w:iCs/>
          <w:sz w:val="24"/>
          <w:szCs w:val="24"/>
        </w:rPr>
        <w:t>Рабочие программы учебных дисциплин (модулей), практик и стажировок</w:t>
      </w:r>
    </w:p>
    <w:p w:rsidR="004C4283" w:rsidRDefault="004C4283" w:rsidP="004C4283">
      <w:pPr>
        <w:spacing w:before="120" w:after="120"/>
        <w:rPr>
          <w:rFonts w:ascii="Times New Roman" w:hAnsi="Times New Roman"/>
          <w:iCs/>
          <w:sz w:val="24"/>
          <w:szCs w:val="24"/>
        </w:rPr>
      </w:pPr>
      <w:r w:rsidRPr="004C4283">
        <w:rPr>
          <w:rFonts w:ascii="Times New Roman" w:hAnsi="Times New Roman"/>
          <w:iCs/>
          <w:sz w:val="24"/>
          <w:szCs w:val="24"/>
        </w:rPr>
        <w:t>Дисциплина (Модуль) 1. Наименование дисциплины (модуля).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2"/>
        <w:gridCol w:w="3338"/>
        <w:gridCol w:w="5811"/>
      </w:tblGrid>
      <w:tr w:rsidR="00327A07" w:rsidRPr="00327A07" w:rsidTr="00687CEE">
        <w:trPr>
          <w:trHeight w:val="937"/>
        </w:trPr>
        <w:tc>
          <w:tcPr>
            <w:tcW w:w="598" w:type="dxa"/>
            <w:gridSpan w:val="2"/>
          </w:tcPr>
          <w:p w:rsidR="00327A07" w:rsidRPr="00327A07" w:rsidRDefault="00327A07" w:rsidP="00327A07">
            <w:pPr>
              <w:jc w:val="center"/>
              <w:rPr>
                <w:rFonts w:ascii="Times New Roman" w:hAnsi="Times New Roman"/>
                <w:b/>
                <w:sz w:val="24"/>
                <w:szCs w:val="24"/>
              </w:rPr>
            </w:pPr>
          </w:p>
          <w:p w:rsidR="00327A07" w:rsidRPr="00327A07" w:rsidRDefault="00327A07" w:rsidP="00327A07">
            <w:pPr>
              <w:jc w:val="center"/>
              <w:rPr>
                <w:rFonts w:ascii="Times New Roman" w:hAnsi="Times New Roman"/>
                <w:b/>
                <w:sz w:val="24"/>
                <w:szCs w:val="24"/>
              </w:rPr>
            </w:pPr>
            <w:r w:rsidRPr="00327A07">
              <w:rPr>
                <w:rFonts w:ascii="Times New Roman" w:hAnsi="Times New Roman"/>
                <w:b/>
                <w:sz w:val="24"/>
                <w:szCs w:val="24"/>
              </w:rPr>
              <w:t>№</w:t>
            </w:r>
          </w:p>
          <w:p w:rsidR="00327A07" w:rsidRPr="00327A07" w:rsidRDefault="00327A07" w:rsidP="00327A07">
            <w:pPr>
              <w:jc w:val="center"/>
              <w:rPr>
                <w:rFonts w:ascii="Times New Roman" w:hAnsi="Times New Roman"/>
                <w:b/>
                <w:sz w:val="24"/>
                <w:szCs w:val="24"/>
              </w:rPr>
            </w:pPr>
            <w:r w:rsidRPr="00327A07">
              <w:rPr>
                <w:rFonts w:ascii="Times New Roman" w:hAnsi="Times New Roman"/>
                <w:b/>
                <w:sz w:val="24"/>
                <w:szCs w:val="24"/>
              </w:rPr>
              <w:t>п/п</w:t>
            </w:r>
          </w:p>
        </w:tc>
        <w:tc>
          <w:tcPr>
            <w:tcW w:w="3338" w:type="dxa"/>
            <w:vAlign w:val="center"/>
          </w:tcPr>
          <w:p w:rsidR="00327A07" w:rsidRPr="00327A07" w:rsidRDefault="00327A07" w:rsidP="00327A07">
            <w:pPr>
              <w:jc w:val="center"/>
              <w:rPr>
                <w:rFonts w:ascii="Times New Roman" w:hAnsi="Times New Roman"/>
                <w:b/>
                <w:sz w:val="24"/>
                <w:szCs w:val="24"/>
              </w:rPr>
            </w:pPr>
            <w:r w:rsidRPr="00327A07">
              <w:rPr>
                <w:rFonts w:ascii="Times New Roman" w:hAnsi="Times New Roman"/>
                <w:b/>
                <w:sz w:val="24"/>
                <w:szCs w:val="24"/>
              </w:rPr>
              <w:t xml:space="preserve">Наименование тем </w:t>
            </w:r>
          </w:p>
        </w:tc>
        <w:tc>
          <w:tcPr>
            <w:tcW w:w="5811" w:type="dxa"/>
            <w:vAlign w:val="center"/>
          </w:tcPr>
          <w:p w:rsidR="00327A07" w:rsidRPr="00327A07" w:rsidRDefault="00327A07" w:rsidP="00327A07">
            <w:pPr>
              <w:jc w:val="center"/>
              <w:rPr>
                <w:rFonts w:ascii="Times New Roman" w:hAnsi="Times New Roman"/>
                <w:b/>
                <w:sz w:val="24"/>
                <w:szCs w:val="24"/>
              </w:rPr>
            </w:pPr>
            <w:r w:rsidRPr="00327A07">
              <w:rPr>
                <w:rFonts w:ascii="Times New Roman" w:hAnsi="Times New Roman"/>
                <w:b/>
                <w:sz w:val="24"/>
                <w:szCs w:val="24"/>
              </w:rPr>
              <w:t xml:space="preserve">Содержание обучения по темам, наименование и тематика практических занятий, самостоятельной работы слушателя </w:t>
            </w:r>
          </w:p>
        </w:tc>
      </w:tr>
      <w:tr w:rsidR="00327A07" w:rsidRPr="00327A07" w:rsidTr="00687CEE">
        <w:tc>
          <w:tcPr>
            <w:tcW w:w="598" w:type="dxa"/>
            <w:gridSpan w:val="2"/>
            <w:vAlign w:val="center"/>
          </w:tcPr>
          <w:p w:rsidR="00327A07" w:rsidRPr="00327A07" w:rsidRDefault="00327A07" w:rsidP="00327A07">
            <w:pPr>
              <w:rPr>
                <w:rFonts w:ascii="Times New Roman" w:hAnsi="Times New Roman"/>
                <w:sz w:val="24"/>
                <w:szCs w:val="24"/>
              </w:rPr>
            </w:pPr>
            <w:r w:rsidRPr="00327A07">
              <w:rPr>
                <w:rFonts w:ascii="Times New Roman" w:hAnsi="Times New Roman"/>
                <w:sz w:val="24"/>
                <w:szCs w:val="24"/>
              </w:rPr>
              <w:t>1</w:t>
            </w:r>
          </w:p>
        </w:tc>
        <w:tc>
          <w:tcPr>
            <w:tcW w:w="3338" w:type="dxa"/>
            <w:vAlign w:val="center"/>
          </w:tcPr>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Содержание и цели анализа денежных потоков. Система информационного обеспечения анализа денежных потоков</w:t>
            </w:r>
          </w:p>
        </w:tc>
        <w:tc>
          <w:tcPr>
            <w:tcW w:w="5811" w:type="dxa"/>
            <w:vAlign w:val="center"/>
          </w:tcPr>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Понятие денежных потоков как объекта анализа. Различия между понятиями «денежный поток», «движение денежных средств», «денежный запас». Классификация денежных потоков предприятия. Преимущества денежных потоков как показателей финансового положения предприятия. Понятие цикла денежных потоков. Характерные особенности циклов денежных потоков в зависимости от видов деятельности предприятия. Необходимость анализа денежных потоков. Взаимосвязь анализа денежных потоков с другими направлениями финансового анализа. Сущность, цель и задачи анализа денежных потоков. Сфера использования результатов анализа денежных потоков. Критерии оценки денежных потоков предприятия. Виды анализа денежных потоков. Состав и содержание методов анализа денежных потоков.</w:t>
            </w:r>
          </w:p>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Понятие системы информационного обеспечения анализа денежных потоков, ее показатели. Внешние и внутренние источники информации о денежных потоках предприятий. Организация анализа движения денежных средств с использованием современных информационных технологий. Сущность и функции отчета о движении денежных средств в условиях рынка, его целевое назначение для внешних и внутренних пользователей финансовой информации. Взаимосвязь отчета о движении денежных средств с бухгалтерским балансом и отчетом о прибылях и убытках. Причины, повлиявшие на широкое применение указанного отчета в международной практике. Принципы построения и содержание отчета о движении денежных средств в соответствии с МСФО. Развитие бухгалтерской (финансовой) отчетности о денежных потоках в России и за рубежом. Сравнительная характеристика отчетов о движении денежных средств, применяемых в современной отечественной и международной практике. Порядок составления и представления отчета в РФ, особенности отражения показателей.</w:t>
            </w:r>
          </w:p>
        </w:tc>
      </w:tr>
      <w:tr w:rsidR="00327A07" w:rsidRPr="00327A07" w:rsidTr="00687CEE">
        <w:tc>
          <w:tcPr>
            <w:tcW w:w="598" w:type="dxa"/>
            <w:gridSpan w:val="2"/>
            <w:vAlign w:val="center"/>
          </w:tcPr>
          <w:p w:rsidR="00327A07" w:rsidRPr="00327A07" w:rsidRDefault="00327A07" w:rsidP="00327A07">
            <w:pPr>
              <w:rPr>
                <w:rFonts w:ascii="Times New Roman" w:hAnsi="Times New Roman"/>
                <w:sz w:val="24"/>
                <w:szCs w:val="24"/>
              </w:rPr>
            </w:pPr>
            <w:r w:rsidRPr="00327A07">
              <w:rPr>
                <w:rFonts w:ascii="Times New Roman" w:hAnsi="Times New Roman"/>
                <w:sz w:val="24"/>
                <w:szCs w:val="24"/>
              </w:rPr>
              <w:t>2</w:t>
            </w:r>
          </w:p>
        </w:tc>
        <w:tc>
          <w:tcPr>
            <w:tcW w:w="3338" w:type="dxa"/>
            <w:vAlign w:val="center"/>
          </w:tcPr>
          <w:p w:rsidR="00327A07" w:rsidRPr="00327A07" w:rsidRDefault="00327A07" w:rsidP="00327A07">
            <w:pPr>
              <w:jc w:val="left"/>
              <w:rPr>
                <w:rFonts w:ascii="Times New Roman" w:hAnsi="Times New Roman"/>
                <w:sz w:val="24"/>
                <w:szCs w:val="24"/>
                <w:lang w:eastAsia="en-US"/>
              </w:rPr>
            </w:pPr>
            <w:r w:rsidRPr="00327A07">
              <w:rPr>
                <w:rFonts w:ascii="Times New Roman" w:hAnsi="Times New Roman"/>
                <w:sz w:val="24"/>
                <w:szCs w:val="24"/>
                <w:lang w:eastAsia="en-US"/>
              </w:rPr>
              <w:t xml:space="preserve">Методы расчета денежных потоков. Метод финансовых коэффициентов в анализе денежных потоков. Метод </w:t>
            </w:r>
            <w:r w:rsidRPr="00327A07">
              <w:rPr>
                <w:rFonts w:ascii="Times New Roman" w:hAnsi="Times New Roman"/>
                <w:sz w:val="24"/>
                <w:szCs w:val="24"/>
                <w:lang w:eastAsia="en-US"/>
              </w:rPr>
              <w:lastRenderedPageBreak/>
              <w:t>финансовых коэффициентов в анализе денежных потоков</w:t>
            </w:r>
          </w:p>
        </w:tc>
        <w:tc>
          <w:tcPr>
            <w:tcW w:w="5811" w:type="dxa"/>
            <w:vAlign w:val="center"/>
          </w:tcPr>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lastRenderedPageBreak/>
              <w:t xml:space="preserve">Состав методов расчета денежных потоков. Международная и российская практика применения различных методов оценки денежных потоков. Характеристика прямого метода оценки денежных </w:t>
            </w:r>
            <w:r w:rsidRPr="00327A07">
              <w:rPr>
                <w:rFonts w:ascii="Times New Roman" w:hAnsi="Times New Roman"/>
                <w:sz w:val="24"/>
                <w:szCs w:val="24"/>
                <w:lang w:eastAsia="en-US"/>
              </w:rPr>
              <w:lastRenderedPageBreak/>
              <w:t>потоков, его преимущества и недостатки. Способы составления отчета о движении денежных средств прямым методом. Косвенный метод расчета денежных потоков, его достоинства и недостатки. Этапы подготовки отчета о движении денежных средств косвенным методом. Логика корректировок финансового результата при его преобразовании в чистый денежный поток. Использование матричных моделей в оценке движения денежных средств. Расчет ликвидного денежного потока. Этапы анализа отчета о движении денежных средств. Горизонтальный и вертикальный анализ отчета о движении денежных средств. Оценка характера, интенсивности и результативности текущей (операционной), инвестиционной и финансовой деятельности предприятия по данным отчетов, составленных различными методами. Оценка «качества» чистого денежного потока по текущей деятельности. Анализ условий возникновения и регулирования дефицита (излишка) денежных средств.</w:t>
            </w:r>
          </w:p>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Значение метода финансовых коэффициентов в анализе денежных потоков. Базовые финансовые коэффициенты оценки денежных потоков. Коэффициенты ликвидности, рентабельности денежных потоков, показатели финансовой политики предприятия, инвестиционные показатели оценки денежных потоков. Интерпретация результатов расчета различных коэффициентов. Использование коэффициентов оценки денежных потоков в оценке платежеспособности организации. Способы исчисления возможного периода погашения обязательств на базе показателей денежных потоков.</w:t>
            </w:r>
          </w:p>
        </w:tc>
      </w:tr>
      <w:tr w:rsidR="00327A07" w:rsidRPr="00327A07" w:rsidTr="00687CEE">
        <w:tc>
          <w:tcPr>
            <w:tcW w:w="576" w:type="dxa"/>
            <w:vAlign w:val="center"/>
          </w:tcPr>
          <w:p w:rsidR="00327A07" w:rsidRPr="00327A07" w:rsidRDefault="00327A07" w:rsidP="00327A07">
            <w:pPr>
              <w:rPr>
                <w:rFonts w:ascii="Times New Roman" w:hAnsi="Times New Roman"/>
                <w:noProof/>
                <w:sz w:val="24"/>
                <w:szCs w:val="24"/>
              </w:rPr>
            </w:pPr>
            <w:r w:rsidRPr="00327A07">
              <w:rPr>
                <w:rFonts w:ascii="Times New Roman" w:hAnsi="Times New Roman"/>
                <w:noProof/>
                <w:sz w:val="24"/>
                <w:szCs w:val="24"/>
              </w:rPr>
              <w:lastRenderedPageBreak/>
              <w:t>3</w:t>
            </w:r>
          </w:p>
        </w:tc>
        <w:tc>
          <w:tcPr>
            <w:tcW w:w="3360" w:type="dxa"/>
            <w:gridSpan w:val="2"/>
            <w:vAlign w:val="center"/>
          </w:tcPr>
          <w:p w:rsidR="00327A07" w:rsidRPr="00327A07" w:rsidRDefault="00327A07" w:rsidP="00327A07">
            <w:pPr>
              <w:jc w:val="left"/>
              <w:rPr>
                <w:rFonts w:ascii="Times New Roman" w:hAnsi="Times New Roman"/>
                <w:color w:val="333333"/>
                <w:sz w:val="24"/>
                <w:szCs w:val="24"/>
              </w:rPr>
            </w:pPr>
            <w:r w:rsidRPr="00327A07">
              <w:rPr>
                <w:rFonts w:ascii="Times New Roman" w:hAnsi="Times New Roman"/>
                <w:sz w:val="24"/>
                <w:szCs w:val="24"/>
                <w:lang w:eastAsia="en-US"/>
              </w:rPr>
              <w:t>Анализ и управление расчетами организаций. Анализ взаимосвязи денежных потоков и движения оборотного капитала. Анализ и управление денежной наличностью Анализ и управление денежной наличностью</w:t>
            </w:r>
          </w:p>
        </w:tc>
        <w:tc>
          <w:tcPr>
            <w:tcW w:w="5811" w:type="dxa"/>
            <w:vAlign w:val="center"/>
          </w:tcPr>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Связи между движением оборотного капитала и денежных средств. Операционный и финансовый циклы, способы их оценки. Значение показателей в характеристике состояния денежных потоков организации. Факторы, способствующие сокращению длительности операционного и финансового циклов. Понятие и способы исчисления текущих финансовых потребностей предприятия, их зависимость от условий получения и расходования денежных средств. Оценка возможностей снижения текущих финансовых потребностей путем предоставления скидок за досрочное погашение обязательств покупателями.</w:t>
            </w:r>
          </w:p>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 xml:space="preserve">Понятие денежной наличности и ее признаки: рутинность, предосторожность и спекулятивность. Ключевые мотивы владения денежной наличностью. Цели анализа денежных средств. Оценка уровня, динамики и степени участия денежной наличности в капитале организации. Анализ уровня отвлечения свободного остатка денежных средств в финансовые </w:t>
            </w:r>
            <w:r w:rsidRPr="00327A07">
              <w:rPr>
                <w:rFonts w:ascii="Times New Roman" w:hAnsi="Times New Roman"/>
                <w:sz w:val="24"/>
                <w:szCs w:val="24"/>
                <w:lang w:eastAsia="en-US"/>
              </w:rPr>
              <w:lastRenderedPageBreak/>
              <w:t xml:space="preserve">вложения. Динамика оборачиваемости денежных средств и ее связь с условиями функционирования денежных потоков. Проблема определения оптимального остатка денежных средств предприятия. </w:t>
            </w:r>
          </w:p>
        </w:tc>
      </w:tr>
      <w:tr w:rsidR="00327A07" w:rsidRPr="00327A07" w:rsidTr="00687CEE">
        <w:tc>
          <w:tcPr>
            <w:tcW w:w="576" w:type="dxa"/>
            <w:vAlign w:val="center"/>
          </w:tcPr>
          <w:p w:rsidR="00327A07" w:rsidRPr="00327A07" w:rsidRDefault="00327A07" w:rsidP="00327A07">
            <w:pPr>
              <w:rPr>
                <w:rFonts w:ascii="Times New Roman" w:hAnsi="Times New Roman"/>
                <w:noProof/>
                <w:sz w:val="24"/>
                <w:szCs w:val="24"/>
              </w:rPr>
            </w:pPr>
            <w:r w:rsidRPr="00327A07">
              <w:rPr>
                <w:rFonts w:ascii="Times New Roman" w:hAnsi="Times New Roman"/>
                <w:noProof/>
                <w:sz w:val="24"/>
                <w:szCs w:val="24"/>
              </w:rPr>
              <w:lastRenderedPageBreak/>
              <w:t>4</w:t>
            </w:r>
          </w:p>
        </w:tc>
        <w:tc>
          <w:tcPr>
            <w:tcW w:w="3360" w:type="dxa"/>
            <w:gridSpan w:val="2"/>
            <w:vAlign w:val="center"/>
          </w:tcPr>
          <w:p w:rsidR="00327A07" w:rsidRPr="00327A07" w:rsidRDefault="00327A07" w:rsidP="00327A07">
            <w:pPr>
              <w:jc w:val="left"/>
              <w:rPr>
                <w:rFonts w:ascii="Times New Roman" w:hAnsi="Times New Roman"/>
                <w:color w:val="333333"/>
                <w:sz w:val="24"/>
                <w:szCs w:val="24"/>
              </w:rPr>
            </w:pPr>
            <w:r w:rsidRPr="00327A07">
              <w:rPr>
                <w:rFonts w:ascii="Times New Roman" w:hAnsi="Times New Roman"/>
                <w:sz w:val="24"/>
                <w:szCs w:val="24"/>
                <w:lang w:eastAsia="en-US"/>
              </w:rPr>
              <w:t>Оценка денежных потоков во времени. Планирование денежных потоков организаций</w:t>
            </w:r>
          </w:p>
        </w:tc>
        <w:tc>
          <w:tcPr>
            <w:tcW w:w="5811" w:type="dxa"/>
            <w:vAlign w:val="center"/>
          </w:tcPr>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 xml:space="preserve">Содержание концепции дисконтированных денежных потоков. Понятия наращения и дисконтирования стоимости. Способы временной оценки денежных потоков. Оценка аннуитетов. Норма дисконта, используемая в оценке денежных потоков. Сфера применения результатов временной оценки денежных потоков. Использование временного анализа денежных потоков в управлении расчетами организаций: анализ эффективности бартерных сделок, оценка способов расчетов с поставщиками и покупателями, выбор схемы погашения кредита. </w:t>
            </w:r>
          </w:p>
          <w:p w:rsidR="00327A07" w:rsidRPr="00327A07" w:rsidRDefault="00327A07" w:rsidP="00327A07">
            <w:pPr>
              <w:shd w:val="clear" w:color="auto" w:fill="FFFFFF"/>
              <w:overflowPunct/>
              <w:autoSpaceDE/>
              <w:autoSpaceDN/>
              <w:adjustRightInd/>
              <w:textAlignment w:val="auto"/>
              <w:rPr>
                <w:rFonts w:ascii="Times New Roman" w:hAnsi="Times New Roman"/>
                <w:sz w:val="24"/>
                <w:szCs w:val="24"/>
                <w:lang w:eastAsia="en-US"/>
              </w:rPr>
            </w:pPr>
            <w:r w:rsidRPr="00327A07">
              <w:rPr>
                <w:rFonts w:ascii="Times New Roman" w:hAnsi="Times New Roman"/>
                <w:sz w:val="24"/>
                <w:szCs w:val="24"/>
                <w:lang w:eastAsia="en-US"/>
              </w:rPr>
              <w:t>Концепция временной стоимости в инвестиционном анализе: методы выбора инвестиционных проектов, основанные на наращении и дисконтировании стоимости. Необходимость планирования денежных потоков организаций в условиях рынка, его цели. Отличия плана движения денежных средств от отчета о движении денежных средств. Проблема выбора горизонта планирования денежных потоков и ее решение. Место бюджета движения денежных средств в системе финансового планирования. Принципы формирования бюджета движения денежных средств. Этапы бюджетирования потока денежных средств. Методика расчета отдельных показателей бюджета движения денежных средств. Цель и задачи разработки платежного календаря, его виды. Форма платежного календаря. Кассовый план, порядок его представления и разработки.</w:t>
            </w:r>
          </w:p>
        </w:tc>
      </w:tr>
    </w:tbl>
    <w:p w:rsidR="00327A07" w:rsidRPr="004C4283" w:rsidRDefault="00327A07" w:rsidP="004C4283">
      <w:pPr>
        <w:spacing w:before="120" w:after="120"/>
        <w:rPr>
          <w:rFonts w:ascii="Times New Roman" w:hAnsi="Times New Roman"/>
          <w:iCs/>
          <w:sz w:val="24"/>
          <w:szCs w:val="24"/>
        </w:rPr>
      </w:pPr>
    </w:p>
    <w:sectPr w:rsidR="00327A07" w:rsidRPr="004C4283" w:rsidSect="001A08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55C7"/>
    <w:rsid w:val="000C4721"/>
    <w:rsid w:val="001A082F"/>
    <w:rsid w:val="00327A07"/>
    <w:rsid w:val="003A4FCD"/>
    <w:rsid w:val="004C4283"/>
    <w:rsid w:val="00551C1D"/>
    <w:rsid w:val="00773851"/>
    <w:rsid w:val="00794158"/>
    <w:rsid w:val="008A55C7"/>
    <w:rsid w:val="00C4194D"/>
    <w:rsid w:val="00C465F8"/>
    <w:rsid w:val="00FC7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D4639-8694-4A32-9599-10B6176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2F"/>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4158"/>
    <w:pPr>
      <w:overflowPunct/>
      <w:autoSpaceDE/>
      <w:autoSpaceDN/>
      <w:adjustRightInd/>
      <w:spacing w:after="200" w:line="276" w:lineRule="auto"/>
      <w:ind w:left="720"/>
      <w:contextualSpacing/>
      <w:jc w:val="left"/>
      <w:textAlignment w:val="auto"/>
    </w:pPr>
    <w:rPr>
      <w:rFonts w:ascii="Calibri" w:hAnsi="Calibri"/>
      <w:sz w:val="28"/>
      <w:szCs w:val="22"/>
      <w:lang w:eastAsia="en-US"/>
    </w:rPr>
  </w:style>
  <w:style w:type="paragraph" w:styleId="a5">
    <w:name w:val="Normal (Web)"/>
    <w:basedOn w:val="a"/>
    <w:uiPriority w:val="99"/>
    <w:rsid w:val="004C4283"/>
    <w:pPr>
      <w:overflowPunct/>
      <w:autoSpaceDE/>
      <w:autoSpaceDN/>
      <w:adjustRightInd/>
      <w:spacing w:before="100" w:beforeAutospacing="1" w:after="100" w:afterAutospacing="1"/>
      <w:jc w:val="left"/>
      <w:textAlignment w:val="auto"/>
    </w:pPr>
    <w:rPr>
      <w:rFonts w:ascii="Times New Roman" w:hAnsi="Times New Roman"/>
      <w:sz w:val="24"/>
      <w:szCs w:val="24"/>
      <w:lang w:eastAsia="en-US"/>
    </w:rPr>
  </w:style>
  <w:style w:type="character" w:customStyle="1" w:styleId="a4">
    <w:name w:val="Абзац списка Знак"/>
    <w:link w:val="a3"/>
    <w:uiPriority w:val="34"/>
    <w:rsid w:val="004C4283"/>
    <w:rPr>
      <w:rFonts w:ascii="Calibri" w:eastAsia="Times New Roman"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Дугина Юлия Игоревна</dc:creator>
  <cp:keywords/>
  <dc:description/>
  <cp:lastModifiedBy>Дугина Юлия Игоревна</cp:lastModifiedBy>
  <cp:revision>10</cp:revision>
  <dcterms:created xsi:type="dcterms:W3CDTF">2021-02-19T12:18:00Z</dcterms:created>
  <dcterms:modified xsi:type="dcterms:W3CDTF">2021-03-31T07:25:00Z</dcterms:modified>
</cp:coreProperties>
</file>