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94D" w:rsidRPr="00F441AD" w:rsidRDefault="00C4194D" w:rsidP="00C4194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8"/>
          <w:szCs w:val="28"/>
        </w:rPr>
      </w:pPr>
      <w:r w:rsidRPr="00F441AD">
        <w:rPr>
          <w:rFonts w:ascii="Times New Roman" w:hAnsi="Times New Roman"/>
          <w:sz w:val="28"/>
          <w:szCs w:val="28"/>
        </w:rPr>
        <w:t xml:space="preserve">Наименование программы </w:t>
      </w:r>
    </w:p>
    <w:p w:rsidR="00C4194D" w:rsidRDefault="00C4194D" w:rsidP="00C4194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8"/>
          <w:szCs w:val="28"/>
        </w:rPr>
      </w:pPr>
      <w:r>
        <w:rPr>
          <w:rFonts w:ascii="Times New Roman" w:hAnsi="Times New Roman"/>
          <w:b/>
          <w:sz w:val="28"/>
          <w:szCs w:val="28"/>
        </w:rPr>
        <w:t>«</w:t>
      </w:r>
      <w:bookmarkStart w:id="0" w:name="_GoBack"/>
      <w:r w:rsidR="00F87392" w:rsidRPr="00F40849">
        <w:rPr>
          <w:rFonts w:ascii="Times New Roman" w:hAnsi="Times New Roman"/>
          <w:b/>
          <w:sz w:val="28"/>
          <w:szCs w:val="28"/>
        </w:rPr>
        <w:t>Разработка системы бюджетирования в организации</w:t>
      </w:r>
      <w:bookmarkEnd w:id="0"/>
      <w:r w:rsidRPr="002A15A3">
        <w:rPr>
          <w:rFonts w:ascii="Times New Roman" w:hAnsi="Times New Roman"/>
          <w:b/>
          <w:sz w:val="28"/>
          <w:szCs w:val="28"/>
        </w:rPr>
        <w:t>»</w:t>
      </w:r>
    </w:p>
    <w:p w:rsidR="00C4194D" w:rsidRDefault="00C4194D" w:rsidP="00C465F8">
      <w:pPr>
        <w:suppressAutoHyphens/>
        <w:rPr>
          <w:rFonts w:ascii="Times New Roman" w:hAnsi="Times New Roman"/>
          <w:iCs/>
          <w:sz w:val="24"/>
          <w:szCs w:val="24"/>
        </w:rPr>
      </w:pPr>
    </w:p>
    <w:p w:rsidR="00794158" w:rsidRDefault="00794158" w:rsidP="00794158">
      <w:pPr>
        <w:spacing w:before="120" w:after="120"/>
        <w:rPr>
          <w:rFonts w:ascii="Times New Roman" w:hAnsi="Times New Roman"/>
          <w:iCs/>
          <w:sz w:val="24"/>
          <w:szCs w:val="24"/>
        </w:rPr>
      </w:pPr>
      <w:r w:rsidRPr="00794158">
        <w:rPr>
          <w:rFonts w:ascii="Times New Roman" w:hAnsi="Times New Roman"/>
          <w:iCs/>
          <w:sz w:val="24"/>
          <w:szCs w:val="24"/>
        </w:rPr>
        <w:t>Рабочие программы учебных дисциплин (модулей), практик и стажировок</w:t>
      </w:r>
    </w:p>
    <w:p w:rsidR="002A15A3" w:rsidRPr="002A15A3" w:rsidRDefault="002A15A3" w:rsidP="002A15A3">
      <w:pPr>
        <w:spacing w:before="120" w:after="120"/>
        <w:rPr>
          <w:rFonts w:ascii="Times New Roman" w:hAnsi="Times New Roman"/>
          <w:iCs/>
          <w:sz w:val="24"/>
          <w:szCs w:val="24"/>
        </w:rPr>
      </w:pPr>
      <w:r w:rsidRPr="002A15A3">
        <w:rPr>
          <w:rFonts w:ascii="Times New Roman" w:hAnsi="Times New Roman"/>
          <w:iCs/>
          <w:sz w:val="24"/>
          <w:szCs w:val="24"/>
        </w:rPr>
        <w:t>Дисциплина (Модуль) 1. Наименование дисциплины (модуля).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2"/>
        <w:gridCol w:w="3338"/>
        <w:gridCol w:w="5811"/>
      </w:tblGrid>
      <w:tr w:rsidR="00F87392" w:rsidRPr="00F87392" w:rsidTr="00687CEE">
        <w:trPr>
          <w:trHeight w:val="937"/>
        </w:trPr>
        <w:tc>
          <w:tcPr>
            <w:tcW w:w="598" w:type="dxa"/>
            <w:gridSpan w:val="2"/>
          </w:tcPr>
          <w:p w:rsidR="00F87392" w:rsidRPr="00F87392" w:rsidRDefault="00F87392" w:rsidP="00F87392">
            <w:pPr>
              <w:jc w:val="center"/>
              <w:rPr>
                <w:rFonts w:ascii="Times New Roman" w:hAnsi="Times New Roman"/>
                <w:b/>
                <w:sz w:val="24"/>
                <w:szCs w:val="24"/>
              </w:rPr>
            </w:pPr>
          </w:p>
          <w:p w:rsidR="00F87392" w:rsidRPr="00F87392" w:rsidRDefault="00F87392" w:rsidP="00F87392">
            <w:pPr>
              <w:jc w:val="center"/>
              <w:rPr>
                <w:rFonts w:ascii="Times New Roman" w:hAnsi="Times New Roman"/>
                <w:b/>
                <w:sz w:val="24"/>
                <w:szCs w:val="24"/>
              </w:rPr>
            </w:pPr>
            <w:r w:rsidRPr="00F87392">
              <w:rPr>
                <w:rFonts w:ascii="Times New Roman" w:hAnsi="Times New Roman"/>
                <w:b/>
                <w:sz w:val="24"/>
                <w:szCs w:val="24"/>
              </w:rPr>
              <w:t>№</w:t>
            </w:r>
          </w:p>
          <w:p w:rsidR="00F87392" w:rsidRPr="00F87392" w:rsidRDefault="00F87392" w:rsidP="00F87392">
            <w:pPr>
              <w:jc w:val="center"/>
              <w:rPr>
                <w:rFonts w:ascii="Times New Roman" w:hAnsi="Times New Roman"/>
                <w:b/>
                <w:sz w:val="24"/>
                <w:szCs w:val="24"/>
              </w:rPr>
            </w:pPr>
            <w:r w:rsidRPr="00F87392">
              <w:rPr>
                <w:rFonts w:ascii="Times New Roman" w:hAnsi="Times New Roman"/>
                <w:b/>
                <w:sz w:val="24"/>
                <w:szCs w:val="24"/>
              </w:rPr>
              <w:t>п/п</w:t>
            </w:r>
          </w:p>
        </w:tc>
        <w:tc>
          <w:tcPr>
            <w:tcW w:w="3338" w:type="dxa"/>
            <w:vAlign w:val="center"/>
          </w:tcPr>
          <w:p w:rsidR="00F87392" w:rsidRPr="00F87392" w:rsidRDefault="00F87392" w:rsidP="00F87392">
            <w:pPr>
              <w:jc w:val="center"/>
              <w:rPr>
                <w:rFonts w:ascii="Times New Roman" w:hAnsi="Times New Roman"/>
                <w:b/>
                <w:sz w:val="24"/>
                <w:szCs w:val="24"/>
              </w:rPr>
            </w:pPr>
            <w:r w:rsidRPr="00F87392">
              <w:rPr>
                <w:rFonts w:ascii="Times New Roman" w:hAnsi="Times New Roman"/>
                <w:b/>
                <w:sz w:val="24"/>
                <w:szCs w:val="24"/>
              </w:rPr>
              <w:t xml:space="preserve">Наименование тем </w:t>
            </w:r>
          </w:p>
        </w:tc>
        <w:tc>
          <w:tcPr>
            <w:tcW w:w="5811" w:type="dxa"/>
            <w:vAlign w:val="center"/>
          </w:tcPr>
          <w:p w:rsidR="00F87392" w:rsidRPr="00F87392" w:rsidRDefault="00F87392" w:rsidP="00F87392">
            <w:pPr>
              <w:jc w:val="center"/>
              <w:rPr>
                <w:rFonts w:ascii="Times New Roman" w:hAnsi="Times New Roman"/>
                <w:b/>
                <w:sz w:val="24"/>
                <w:szCs w:val="24"/>
              </w:rPr>
            </w:pPr>
            <w:r w:rsidRPr="00F87392">
              <w:rPr>
                <w:rFonts w:ascii="Times New Roman" w:hAnsi="Times New Roman"/>
                <w:b/>
                <w:sz w:val="24"/>
                <w:szCs w:val="24"/>
              </w:rPr>
              <w:t xml:space="preserve">Содержание обучения по темам, наименование и тематика практических занятий, самостоятельной работы слушателя </w:t>
            </w:r>
          </w:p>
        </w:tc>
      </w:tr>
      <w:tr w:rsidR="00F87392" w:rsidRPr="00F87392" w:rsidTr="00687CEE">
        <w:tc>
          <w:tcPr>
            <w:tcW w:w="598" w:type="dxa"/>
            <w:gridSpan w:val="2"/>
            <w:vAlign w:val="center"/>
          </w:tcPr>
          <w:p w:rsidR="00F87392" w:rsidRPr="00F87392" w:rsidRDefault="00F87392" w:rsidP="00F87392">
            <w:pPr>
              <w:rPr>
                <w:rFonts w:ascii="Times New Roman" w:hAnsi="Times New Roman"/>
                <w:color w:val="000000" w:themeColor="text1"/>
                <w:sz w:val="24"/>
                <w:szCs w:val="24"/>
              </w:rPr>
            </w:pPr>
            <w:r w:rsidRPr="00F87392">
              <w:rPr>
                <w:rFonts w:ascii="Times New Roman" w:hAnsi="Times New Roman"/>
                <w:color w:val="000000" w:themeColor="text1"/>
                <w:sz w:val="24"/>
                <w:szCs w:val="24"/>
              </w:rPr>
              <w:t>1</w:t>
            </w:r>
          </w:p>
        </w:tc>
        <w:tc>
          <w:tcPr>
            <w:tcW w:w="3338" w:type="dxa"/>
          </w:tcPr>
          <w:p w:rsidR="00F87392" w:rsidRPr="00F87392" w:rsidRDefault="00F87392" w:rsidP="00F87392">
            <w:pPr>
              <w:shd w:val="clear" w:color="auto" w:fill="FFFFFF"/>
              <w:rPr>
                <w:rFonts w:ascii="Times New Roman" w:hAnsi="Times New Roman"/>
                <w:color w:val="000000" w:themeColor="text1"/>
                <w:sz w:val="24"/>
                <w:szCs w:val="24"/>
              </w:rPr>
            </w:pPr>
            <w:r w:rsidRPr="00F87392">
              <w:rPr>
                <w:rFonts w:ascii="Times New Roman" w:hAnsi="Times New Roman"/>
                <w:color w:val="000000" w:themeColor="text1"/>
                <w:sz w:val="24"/>
                <w:szCs w:val="24"/>
              </w:rPr>
              <w:t xml:space="preserve">Управленческий учёт: задачи, характеристика и формирование управленческого учёта. </w:t>
            </w:r>
          </w:p>
        </w:tc>
        <w:tc>
          <w:tcPr>
            <w:tcW w:w="5811" w:type="dxa"/>
            <w:vAlign w:val="center"/>
          </w:tcPr>
          <w:p w:rsidR="00F87392" w:rsidRPr="00F87392" w:rsidRDefault="00F87392" w:rsidP="00F87392">
            <w:pPr>
              <w:overflowPunct/>
              <w:autoSpaceDE/>
              <w:autoSpaceDN/>
              <w:adjustRightInd/>
              <w:textAlignment w:val="auto"/>
              <w:rPr>
                <w:rFonts w:ascii="Times New Roman" w:hAnsi="Times New Roman"/>
                <w:color w:val="000000" w:themeColor="text1"/>
                <w:sz w:val="24"/>
                <w:szCs w:val="24"/>
              </w:rPr>
            </w:pPr>
            <w:r w:rsidRPr="00F87392">
              <w:rPr>
                <w:rFonts w:ascii="Times New Roman" w:hAnsi="Times New Roman"/>
                <w:color w:val="000000" w:themeColor="text1"/>
                <w:sz w:val="24"/>
                <w:szCs w:val="24"/>
              </w:rPr>
              <w:t xml:space="preserve">Управленческий учёт: задачи, характеристика и формирование управленческого учёта. Различия между управленческой и бухгалтерской отчётностью. </w:t>
            </w:r>
          </w:p>
          <w:p w:rsidR="00F87392" w:rsidRPr="00F87392" w:rsidRDefault="00F87392" w:rsidP="00F87392">
            <w:pPr>
              <w:overflowPunct/>
              <w:autoSpaceDE/>
              <w:autoSpaceDN/>
              <w:adjustRightInd/>
              <w:textAlignment w:val="auto"/>
              <w:rPr>
                <w:rFonts w:ascii="Times New Roman" w:hAnsi="Times New Roman"/>
                <w:color w:val="000000" w:themeColor="text1"/>
                <w:sz w:val="24"/>
                <w:szCs w:val="24"/>
              </w:rPr>
            </w:pPr>
            <w:r w:rsidRPr="00F87392">
              <w:rPr>
                <w:rFonts w:ascii="Times New Roman" w:hAnsi="Times New Roman"/>
                <w:color w:val="000000" w:themeColor="text1"/>
                <w:sz w:val="24"/>
                <w:szCs w:val="24"/>
              </w:rPr>
              <w:t xml:space="preserve">Основные принципы и блоки управленческого учёта: классификация и поведение затрат, методы учёта затрат и </w:t>
            </w:r>
            <w:proofErr w:type="spellStart"/>
            <w:r w:rsidRPr="00F87392">
              <w:rPr>
                <w:rFonts w:ascii="Times New Roman" w:hAnsi="Times New Roman"/>
                <w:color w:val="000000" w:themeColor="text1"/>
                <w:sz w:val="24"/>
                <w:szCs w:val="24"/>
              </w:rPr>
              <w:t>калькулирования</w:t>
            </w:r>
            <w:proofErr w:type="spellEnd"/>
            <w:r w:rsidRPr="00F87392">
              <w:rPr>
                <w:rFonts w:ascii="Times New Roman" w:hAnsi="Times New Roman"/>
                <w:color w:val="000000" w:themeColor="text1"/>
                <w:sz w:val="24"/>
                <w:szCs w:val="24"/>
              </w:rPr>
              <w:t xml:space="preserve"> себестоимости, схемы формирования финансовых результатов, маржинальный доход. Бюджетное управление в условиях кризиса: роль бюджетирования в управлении организацией. Бюджет в цикле управления организацией в условиях неопределённости. Финансовая структура предприятия: управление по центрам ответственности, формирование финансовой структуры организации, регламентация процесса формирования финансовой структуры и разработка положения о финансовой структуре организации. Практикум по формированию финансовой структуры организации. </w:t>
            </w:r>
          </w:p>
          <w:p w:rsidR="00F87392" w:rsidRPr="00F87392" w:rsidRDefault="00F87392" w:rsidP="00F87392">
            <w:pPr>
              <w:rPr>
                <w:rFonts w:ascii="Times New Roman" w:hAnsi="Times New Roman"/>
                <w:noProof/>
                <w:color w:val="000000" w:themeColor="text1"/>
                <w:sz w:val="24"/>
                <w:szCs w:val="24"/>
              </w:rPr>
            </w:pPr>
          </w:p>
        </w:tc>
      </w:tr>
      <w:tr w:rsidR="00F87392" w:rsidRPr="00F87392" w:rsidTr="00687CEE">
        <w:tc>
          <w:tcPr>
            <w:tcW w:w="598" w:type="dxa"/>
            <w:gridSpan w:val="2"/>
            <w:vAlign w:val="center"/>
          </w:tcPr>
          <w:p w:rsidR="00F87392" w:rsidRPr="00F87392" w:rsidRDefault="00F87392" w:rsidP="00F87392">
            <w:pPr>
              <w:rPr>
                <w:rFonts w:ascii="Times New Roman" w:hAnsi="Times New Roman"/>
                <w:color w:val="000000" w:themeColor="text1"/>
                <w:sz w:val="24"/>
                <w:szCs w:val="24"/>
              </w:rPr>
            </w:pPr>
            <w:r w:rsidRPr="00F87392">
              <w:rPr>
                <w:rFonts w:ascii="Times New Roman" w:hAnsi="Times New Roman"/>
                <w:color w:val="000000" w:themeColor="text1"/>
                <w:sz w:val="24"/>
                <w:szCs w:val="24"/>
              </w:rPr>
              <w:t>2</w:t>
            </w:r>
          </w:p>
        </w:tc>
        <w:tc>
          <w:tcPr>
            <w:tcW w:w="3338" w:type="dxa"/>
          </w:tcPr>
          <w:p w:rsidR="00F87392" w:rsidRPr="00F87392" w:rsidRDefault="00F87392" w:rsidP="00F87392">
            <w:pPr>
              <w:shd w:val="clear" w:color="auto" w:fill="FFFFFF"/>
              <w:rPr>
                <w:rFonts w:ascii="Times New Roman" w:hAnsi="Times New Roman"/>
                <w:color w:val="000000" w:themeColor="text1"/>
                <w:sz w:val="24"/>
                <w:szCs w:val="24"/>
              </w:rPr>
            </w:pPr>
            <w:r w:rsidRPr="00F87392">
              <w:rPr>
                <w:rFonts w:ascii="Times New Roman" w:hAnsi="Times New Roman"/>
                <w:color w:val="000000" w:themeColor="text1"/>
                <w:sz w:val="24"/>
                <w:szCs w:val="24"/>
              </w:rPr>
              <w:t xml:space="preserve">Бюджетирование, как инструмент финансового планирования. </w:t>
            </w:r>
          </w:p>
        </w:tc>
        <w:tc>
          <w:tcPr>
            <w:tcW w:w="5811" w:type="dxa"/>
            <w:vAlign w:val="center"/>
          </w:tcPr>
          <w:p w:rsidR="00F87392" w:rsidRPr="00F87392" w:rsidRDefault="00F87392" w:rsidP="00F87392">
            <w:pPr>
              <w:overflowPunct/>
              <w:autoSpaceDE/>
              <w:autoSpaceDN/>
              <w:adjustRightInd/>
              <w:textAlignment w:val="auto"/>
              <w:rPr>
                <w:rFonts w:ascii="Times New Roman" w:hAnsi="Times New Roman"/>
                <w:color w:val="000000" w:themeColor="text1"/>
                <w:sz w:val="24"/>
                <w:szCs w:val="24"/>
              </w:rPr>
            </w:pPr>
            <w:r w:rsidRPr="00F87392">
              <w:rPr>
                <w:rFonts w:ascii="Times New Roman" w:hAnsi="Times New Roman"/>
                <w:color w:val="000000" w:themeColor="text1"/>
                <w:sz w:val="24"/>
                <w:szCs w:val="24"/>
              </w:rPr>
              <w:t xml:space="preserve">Бюджетная структура предприятия: виды бюджетов организации и их классификация, операционные и функциональные бюджеты, форматы бюджетов, бюджетная система, бюджет продаж, бюджет производства, бюджет прямых затрат труда, бюджет производственных затрат, бюджет общепроизводственных накладных расходов, бюджет коммерческих расходов, бюджет управленческих расходов, последовательность составления бюджетов, бюджет доходов и расходов, бюджет движения денежных средств (управление финансовыми потоками), прогнозный бухгалтерский баланс, сбалансированный бюджет, положение о бюджетной структуре организации. Практикум по формированию бюджетной структуры организации. Бюджетное планирование и прогнозирование: этапы процесса планирования, бюджетный период, горизонт и шаг планирования для всех видов бюджетов, описание процесса планирования и разработка формата планирования, разработка положения о планировании и прогнозировании деятельности предприятия. Практикум по прогнозированию и планированию деятельности предприятия. </w:t>
            </w:r>
          </w:p>
          <w:p w:rsidR="00F87392" w:rsidRPr="00F87392" w:rsidRDefault="00F87392" w:rsidP="00F87392">
            <w:pPr>
              <w:overflowPunct/>
              <w:autoSpaceDE/>
              <w:autoSpaceDN/>
              <w:adjustRightInd/>
              <w:contextualSpacing/>
              <w:textAlignment w:val="auto"/>
              <w:rPr>
                <w:rFonts w:ascii="Times New Roman" w:hAnsi="Times New Roman"/>
                <w:color w:val="000000" w:themeColor="text1"/>
                <w:sz w:val="24"/>
                <w:szCs w:val="24"/>
                <w:lang w:eastAsia="en-US"/>
              </w:rPr>
            </w:pPr>
          </w:p>
        </w:tc>
      </w:tr>
      <w:tr w:rsidR="00F87392" w:rsidRPr="00F87392" w:rsidTr="00687CEE">
        <w:tc>
          <w:tcPr>
            <w:tcW w:w="576" w:type="dxa"/>
            <w:vAlign w:val="center"/>
          </w:tcPr>
          <w:p w:rsidR="00F87392" w:rsidRPr="00F87392" w:rsidRDefault="00F87392" w:rsidP="00F87392">
            <w:pPr>
              <w:rPr>
                <w:rFonts w:ascii="Times New Roman" w:hAnsi="Times New Roman"/>
                <w:noProof/>
                <w:color w:val="000000" w:themeColor="text1"/>
                <w:sz w:val="24"/>
                <w:szCs w:val="24"/>
              </w:rPr>
            </w:pPr>
            <w:r w:rsidRPr="00F87392">
              <w:rPr>
                <w:rFonts w:ascii="Times New Roman" w:hAnsi="Times New Roman"/>
                <w:noProof/>
                <w:color w:val="000000" w:themeColor="text1"/>
                <w:sz w:val="24"/>
                <w:szCs w:val="24"/>
              </w:rPr>
              <w:lastRenderedPageBreak/>
              <w:t>3</w:t>
            </w:r>
          </w:p>
        </w:tc>
        <w:tc>
          <w:tcPr>
            <w:tcW w:w="3360" w:type="dxa"/>
            <w:gridSpan w:val="2"/>
          </w:tcPr>
          <w:p w:rsidR="00F87392" w:rsidRPr="00F87392" w:rsidRDefault="00F87392" w:rsidP="00F87392">
            <w:pPr>
              <w:shd w:val="clear" w:color="auto" w:fill="FFFFFF"/>
              <w:rPr>
                <w:rFonts w:ascii="Times New Roman" w:hAnsi="Times New Roman"/>
                <w:color w:val="000000" w:themeColor="text1"/>
                <w:sz w:val="24"/>
                <w:szCs w:val="24"/>
              </w:rPr>
            </w:pPr>
            <w:r w:rsidRPr="00F87392">
              <w:rPr>
                <w:rFonts w:ascii="Times New Roman" w:hAnsi="Times New Roman"/>
                <w:color w:val="000000" w:themeColor="text1"/>
                <w:sz w:val="24"/>
                <w:szCs w:val="24"/>
              </w:rPr>
              <w:t>Контроль исполнения бюджета.</w:t>
            </w:r>
          </w:p>
        </w:tc>
        <w:tc>
          <w:tcPr>
            <w:tcW w:w="5811" w:type="dxa"/>
            <w:vAlign w:val="center"/>
          </w:tcPr>
          <w:p w:rsidR="00F87392" w:rsidRPr="00F87392" w:rsidRDefault="00F87392" w:rsidP="00F87392">
            <w:pPr>
              <w:overflowPunct/>
              <w:autoSpaceDE/>
              <w:autoSpaceDN/>
              <w:adjustRightInd/>
              <w:textAlignment w:val="auto"/>
              <w:rPr>
                <w:rFonts w:ascii="Times New Roman" w:hAnsi="Times New Roman"/>
                <w:color w:val="000000" w:themeColor="text1"/>
                <w:sz w:val="24"/>
                <w:szCs w:val="24"/>
              </w:rPr>
            </w:pPr>
            <w:r w:rsidRPr="00F87392">
              <w:rPr>
                <w:rFonts w:ascii="Times New Roman" w:hAnsi="Times New Roman"/>
                <w:color w:val="000000" w:themeColor="text1"/>
                <w:sz w:val="24"/>
                <w:szCs w:val="24"/>
              </w:rPr>
              <w:t>Контроль исполнения бюджета. Корректировка бюджета. Анализ исполнения бюджета. Разработка положения о проведении анализа. Бюджетный регламент.</w:t>
            </w:r>
          </w:p>
          <w:p w:rsidR="00F87392" w:rsidRPr="00F87392" w:rsidRDefault="00F87392" w:rsidP="00F87392">
            <w:pPr>
              <w:rPr>
                <w:rFonts w:ascii="Times New Roman" w:hAnsi="Times New Roman"/>
                <w:color w:val="000000" w:themeColor="text1"/>
                <w:sz w:val="24"/>
                <w:szCs w:val="24"/>
              </w:rPr>
            </w:pPr>
          </w:p>
        </w:tc>
      </w:tr>
      <w:tr w:rsidR="00F87392" w:rsidRPr="00F87392" w:rsidTr="00687CEE">
        <w:tc>
          <w:tcPr>
            <w:tcW w:w="576" w:type="dxa"/>
            <w:vAlign w:val="center"/>
          </w:tcPr>
          <w:p w:rsidR="00F87392" w:rsidRPr="00F87392" w:rsidRDefault="00F87392" w:rsidP="00F87392">
            <w:pPr>
              <w:rPr>
                <w:rFonts w:ascii="Times New Roman" w:hAnsi="Times New Roman"/>
                <w:noProof/>
                <w:color w:val="000000" w:themeColor="text1"/>
                <w:sz w:val="24"/>
                <w:szCs w:val="24"/>
              </w:rPr>
            </w:pPr>
            <w:r w:rsidRPr="00F87392">
              <w:rPr>
                <w:rFonts w:ascii="Times New Roman" w:hAnsi="Times New Roman"/>
                <w:noProof/>
                <w:color w:val="000000" w:themeColor="text1"/>
                <w:sz w:val="24"/>
                <w:szCs w:val="24"/>
              </w:rPr>
              <w:t>4</w:t>
            </w:r>
          </w:p>
        </w:tc>
        <w:tc>
          <w:tcPr>
            <w:tcW w:w="3360" w:type="dxa"/>
            <w:gridSpan w:val="2"/>
          </w:tcPr>
          <w:p w:rsidR="00F87392" w:rsidRPr="00F87392" w:rsidRDefault="00F87392" w:rsidP="00F87392">
            <w:pPr>
              <w:shd w:val="clear" w:color="auto" w:fill="FFFFFF"/>
              <w:rPr>
                <w:rFonts w:ascii="Times New Roman" w:hAnsi="Times New Roman"/>
                <w:color w:val="000000" w:themeColor="text1"/>
                <w:sz w:val="24"/>
                <w:szCs w:val="24"/>
              </w:rPr>
            </w:pPr>
            <w:r w:rsidRPr="00F87392">
              <w:rPr>
                <w:rFonts w:ascii="Times New Roman" w:hAnsi="Times New Roman"/>
                <w:color w:val="000000" w:themeColor="text1"/>
                <w:sz w:val="24"/>
                <w:szCs w:val="24"/>
              </w:rPr>
              <w:t>Налоговое планирование в системе управления организацией. Бюджет движения денежных бюджетов (БДДС)</w:t>
            </w:r>
          </w:p>
        </w:tc>
        <w:tc>
          <w:tcPr>
            <w:tcW w:w="5811" w:type="dxa"/>
            <w:vAlign w:val="center"/>
          </w:tcPr>
          <w:p w:rsidR="00F87392" w:rsidRPr="00F87392" w:rsidRDefault="00F87392" w:rsidP="00F87392">
            <w:pPr>
              <w:overflowPunct/>
              <w:autoSpaceDE/>
              <w:autoSpaceDN/>
              <w:adjustRightInd/>
              <w:textAlignment w:val="auto"/>
              <w:rPr>
                <w:rFonts w:ascii="Times New Roman" w:hAnsi="Times New Roman"/>
                <w:color w:val="000000" w:themeColor="text1"/>
                <w:sz w:val="24"/>
                <w:szCs w:val="24"/>
              </w:rPr>
            </w:pPr>
            <w:r w:rsidRPr="00F87392">
              <w:rPr>
                <w:rFonts w:ascii="Times New Roman" w:hAnsi="Times New Roman"/>
                <w:color w:val="000000" w:themeColor="text1"/>
                <w:sz w:val="24"/>
                <w:szCs w:val="24"/>
              </w:rPr>
              <w:t xml:space="preserve">Налоговое планирование в системе управления организацией. Бюджет расчётов по налогам и сборам. Основные показатели и порядок составления. Связь с бюджетом продаж, бюджетом материальных расходов, производственным бюджетом. Анализ факторов, влияющих на налоговую нагрузку и налоговые риски. Договорная и учётная политика организации.  </w:t>
            </w:r>
          </w:p>
          <w:p w:rsidR="00F87392" w:rsidRPr="00F87392" w:rsidRDefault="00F87392" w:rsidP="00F87392">
            <w:pPr>
              <w:rPr>
                <w:rFonts w:ascii="Times New Roman" w:hAnsi="Times New Roman"/>
                <w:color w:val="000000" w:themeColor="text1"/>
                <w:sz w:val="24"/>
                <w:szCs w:val="24"/>
              </w:rPr>
            </w:pPr>
          </w:p>
        </w:tc>
      </w:tr>
      <w:tr w:rsidR="00F87392" w:rsidRPr="00F87392" w:rsidTr="00687CEE">
        <w:tc>
          <w:tcPr>
            <w:tcW w:w="576" w:type="dxa"/>
            <w:vAlign w:val="center"/>
          </w:tcPr>
          <w:p w:rsidR="00F87392" w:rsidRPr="00F87392" w:rsidRDefault="00F87392" w:rsidP="00F87392">
            <w:pPr>
              <w:rPr>
                <w:rFonts w:ascii="Times New Roman" w:hAnsi="Times New Roman"/>
                <w:noProof/>
                <w:color w:val="000000" w:themeColor="text1"/>
                <w:sz w:val="24"/>
                <w:szCs w:val="24"/>
              </w:rPr>
            </w:pPr>
            <w:r w:rsidRPr="00F87392">
              <w:rPr>
                <w:rFonts w:ascii="Times New Roman" w:hAnsi="Times New Roman"/>
                <w:noProof/>
                <w:color w:val="000000" w:themeColor="text1"/>
                <w:sz w:val="24"/>
                <w:szCs w:val="24"/>
              </w:rPr>
              <w:t>5</w:t>
            </w:r>
          </w:p>
        </w:tc>
        <w:tc>
          <w:tcPr>
            <w:tcW w:w="3360" w:type="dxa"/>
            <w:gridSpan w:val="2"/>
          </w:tcPr>
          <w:p w:rsidR="00F87392" w:rsidRPr="00F87392" w:rsidRDefault="00F87392" w:rsidP="00F87392">
            <w:pPr>
              <w:shd w:val="clear" w:color="auto" w:fill="FFFFFF"/>
              <w:rPr>
                <w:rFonts w:ascii="Times New Roman" w:hAnsi="Times New Roman"/>
                <w:color w:val="000000" w:themeColor="text1"/>
                <w:sz w:val="24"/>
                <w:szCs w:val="24"/>
              </w:rPr>
            </w:pPr>
            <w:r w:rsidRPr="00F87392">
              <w:rPr>
                <w:rFonts w:ascii="Times New Roman" w:hAnsi="Times New Roman"/>
                <w:color w:val="000000" w:themeColor="text1"/>
                <w:sz w:val="24"/>
                <w:szCs w:val="24"/>
              </w:rPr>
              <w:t xml:space="preserve">Проблемы постановки бюджетирования в российских компаниях в условиях кризиса и методы их решения. </w:t>
            </w:r>
          </w:p>
          <w:p w:rsidR="00F87392" w:rsidRPr="00F87392" w:rsidRDefault="00F87392" w:rsidP="00F87392">
            <w:pPr>
              <w:shd w:val="clear" w:color="auto" w:fill="FFFFFF"/>
              <w:rPr>
                <w:rFonts w:ascii="Times New Roman" w:hAnsi="Times New Roman"/>
                <w:color w:val="000000" w:themeColor="text1"/>
                <w:sz w:val="24"/>
                <w:szCs w:val="24"/>
              </w:rPr>
            </w:pPr>
          </w:p>
        </w:tc>
        <w:tc>
          <w:tcPr>
            <w:tcW w:w="5811" w:type="dxa"/>
            <w:vAlign w:val="center"/>
          </w:tcPr>
          <w:p w:rsidR="00F87392" w:rsidRPr="00F87392" w:rsidRDefault="00F87392" w:rsidP="00F87392">
            <w:pPr>
              <w:overflowPunct/>
              <w:autoSpaceDE/>
              <w:autoSpaceDN/>
              <w:adjustRightInd/>
              <w:textAlignment w:val="auto"/>
              <w:rPr>
                <w:rFonts w:ascii="Times New Roman" w:hAnsi="Times New Roman"/>
                <w:color w:val="000000" w:themeColor="text1"/>
                <w:sz w:val="24"/>
                <w:szCs w:val="24"/>
              </w:rPr>
            </w:pPr>
            <w:r w:rsidRPr="00F87392">
              <w:rPr>
                <w:rFonts w:ascii="Times New Roman" w:hAnsi="Times New Roman"/>
                <w:color w:val="000000" w:themeColor="text1"/>
                <w:sz w:val="24"/>
                <w:szCs w:val="24"/>
              </w:rPr>
              <w:t xml:space="preserve">Проблемы постановки бюджетирования в российских компаниях в условиях кризиса и методы их решения. </w:t>
            </w:r>
          </w:p>
          <w:p w:rsidR="00F87392" w:rsidRPr="00F87392" w:rsidRDefault="00F87392" w:rsidP="00F87392">
            <w:pPr>
              <w:rPr>
                <w:rFonts w:ascii="Times New Roman" w:hAnsi="Times New Roman"/>
                <w:color w:val="000000" w:themeColor="text1"/>
                <w:sz w:val="24"/>
                <w:szCs w:val="24"/>
              </w:rPr>
            </w:pPr>
          </w:p>
        </w:tc>
      </w:tr>
    </w:tbl>
    <w:p w:rsidR="002A15A3" w:rsidRPr="00F87392" w:rsidRDefault="002A15A3" w:rsidP="00794158">
      <w:pPr>
        <w:spacing w:before="120" w:after="120"/>
        <w:rPr>
          <w:rFonts w:ascii="Times New Roman" w:hAnsi="Times New Roman"/>
          <w:iCs/>
          <w:color w:val="000000" w:themeColor="text1"/>
          <w:sz w:val="24"/>
          <w:szCs w:val="24"/>
        </w:rPr>
      </w:pPr>
    </w:p>
    <w:sectPr w:rsidR="002A15A3" w:rsidRPr="00F87392" w:rsidSect="001A082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A55C7"/>
    <w:rsid w:val="001A082F"/>
    <w:rsid w:val="002A15A3"/>
    <w:rsid w:val="00551C1D"/>
    <w:rsid w:val="00773851"/>
    <w:rsid w:val="00794158"/>
    <w:rsid w:val="008A55C7"/>
    <w:rsid w:val="00A16423"/>
    <w:rsid w:val="00C4194D"/>
    <w:rsid w:val="00C465F8"/>
    <w:rsid w:val="00F87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1D4639-8694-4A32-9599-10B61767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2F"/>
    <w:pPr>
      <w:overflowPunct w:val="0"/>
      <w:autoSpaceDE w:val="0"/>
      <w:autoSpaceDN w:val="0"/>
      <w:adjustRightInd w:val="0"/>
      <w:spacing w:after="0" w:line="240" w:lineRule="auto"/>
      <w:jc w:val="both"/>
      <w:textAlignment w:val="baseline"/>
    </w:pPr>
    <w:rPr>
      <w:rFonts w:ascii="Courier New" w:eastAsia="Times New Roman" w:hAnsi="Courier New"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158"/>
    <w:pPr>
      <w:overflowPunct/>
      <w:autoSpaceDE/>
      <w:autoSpaceDN/>
      <w:adjustRightInd/>
      <w:spacing w:after="200" w:line="276" w:lineRule="auto"/>
      <w:ind w:left="720"/>
      <w:contextualSpacing/>
      <w:jc w:val="left"/>
      <w:textAlignment w:val="auto"/>
    </w:pPr>
    <w:rPr>
      <w:rFonts w:ascii="Calibri" w:hAnsi="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Дугина Юлия Игоревна</dc:creator>
  <cp:keywords/>
  <dc:description/>
  <cp:lastModifiedBy>Дугина Юлия Игоревна</cp:lastModifiedBy>
  <cp:revision>8</cp:revision>
  <dcterms:created xsi:type="dcterms:W3CDTF">2021-02-19T12:18:00Z</dcterms:created>
  <dcterms:modified xsi:type="dcterms:W3CDTF">2021-03-31T07:41:00Z</dcterms:modified>
</cp:coreProperties>
</file>