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94D" w:rsidRPr="00F441AD" w:rsidRDefault="00C4194D" w:rsidP="00C4194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8"/>
          <w:szCs w:val="28"/>
        </w:rPr>
      </w:pPr>
      <w:r w:rsidRPr="00F441AD">
        <w:rPr>
          <w:rFonts w:ascii="Times New Roman" w:hAnsi="Times New Roman"/>
          <w:sz w:val="28"/>
          <w:szCs w:val="28"/>
        </w:rPr>
        <w:t xml:space="preserve">Наименование программы </w:t>
      </w:r>
    </w:p>
    <w:p w:rsidR="0078466A" w:rsidRPr="002A5C77" w:rsidRDefault="0078466A" w:rsidP="0078466A">
      <w:pPr>
        <w:tabs>
          <w:tab w:val="right" w:leader="underscore" w:pos="9639"/>
        </w:tabs>
        <w:ind w:firstLine="567"/>
        <w:jc w:val="center"/>
        <w:rPr>
          <w:rFonts w:ascii="Times New Roman" w:hAnsi="Times New Roman"/>
          <w:b/>
          <w:bCs/>
          <w:sz w:val="28"/>
          <w:szCs w:val="28"/>
        </w:rPr>
      </w:pPr>
      <w:bookmarkStart w:id="0" w:name="_GoBack"/>
      <w:r w:rsidRPr="002A5C77">
        <w:rPr>
          <w:rFonts w:ascii="Times New Roman" w:hAnsi="Times New Roman"/>
          <w:b/>
          <w:bCs/>
          <w:sz w:val="28"/>
          <w:szCs w:val="28"/>
        </w:rPr>
        <w:t>«Повышение эффективности финансово-экономической</w:t>
      </w:r>
    </w:p>
    <w:p w:rsidR="0078466A" w:rsidRPr="002A5C77" w:rsidRDefault="0078466A" w:rsidP="0078466A">
      <w:pPr>
        <w:tabs>
          <w:tab w:val="right" w:leader="underscore" w:pos="9639"/>
        </w:tabs>
        <w:ind w:firstLine="567"/>
        <w:jc w:val="center"/>
        <w:rPr>
          <w:rFonts w:ascii="Times New Roman" w:hAnsi="Times New Roman"/>
          <w:b/>
          <w:bCs/>
          <w:sz w:val="28"/>
          <w:szCs w:val="28"/>
        </w:rPr>
      </w:pPr>
      <w:r w:rsidRPr="002A5C77">
        <w:rPr>
          <w:rFonts w:ascii="Times New Roman" w:hAnsi="Times New Roman"/>
          <w:b/>
          <w:bCs/>
          <w:sz w:val="28"/>
          <w:szCs w:val="28"/>
        </w:rPr>
        <w:t>деятельности организации»</w:t>
      </w:r>
    </w:p>
    <w:bookmarkEnd w:id="0"/>
    <w:p w:rsidR="00794158" w:rsidRPr="00794158" w:rsidRDefault="00794158" w:rsidP="00794158">
      <w:pPr>
        <w:spacing w:before="120" w:after="120"/>
        <w:rPr>
          <w:rFonts w:ascii="Times New Roman" w:hAnsi="Times New Roman"/>
          <w:iCs/>
          <w:sz w:val="24"/>
          <w:szCs w:val="24"/>
        </w:rPr>
      </w:pPr>
      <w:r w:rsidRPr="00794158">
        <w:rPr>
          <w:rFonts w:ascii="Times New Roman" w:hAnsi="Times New Roman"/>
          <w:iCs/>
          <w:sz w:val="24"/>
          <w:szCs w:val="24"/>
        </w:rPr>
        <w:t>Рабочие программы учебных дисциплин (модулей), практик и стажировок</w:t>
      </w:r>
    </w:p>
    <w:p w:rsidR="004C4283" w:rsidRPr="004C4283" w:rsidRDefault="004C4283" w:rsidP="004C4283">
      <w:pPr>
        <w:spacing w:before="120" w:after="120"/>
        <w:rPr>
          <w:rFonts w:ascii="Times New Roman" w:hAnsi="Times New Roman"/>
          <w:iCs/>
          <w:sz w:val="24"/>
          <w:szCs w:val="24"/>
        </w:rPr>
      </w:pPr>
      <w:r w:rsidRPr="004C4283">
        <w:rPr>
          <w:rFonts w:ascii="Times New Roman" w:hAnsi="Times New Roman"/>
          <w:iCs/>
          <w:sz w:val="24"/>
          <w:szCs w:val="24"/>
        </w:rPr>
        <w:t>Дисциплина (Модуль) 1. Наименование дисциплины (модуля).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2"/>
        <w:gridCol w:w="3338"/>
        <w:gridCol w:w="5811"/>
      </w:tblGrid>
      <w:tr w:rsidR="0078466A" w:rsidRPr="0078466A" w:rsidTr="00687CEE">
        <w:trPr>
          <w:trHeight w:val="937"/>
        </w:trPr>
        <w:tc>
          <w:tcPr>
            <w:tcW w:w="598" w:type="dxa"/>
            <w:gridSpan w:val="2"/>
          </w:tcPr>
          <w:p w:rsidR="0078466A" w:rsidRPr="0078466A" w:rsidRDefault="0078466A" w:rsidP="0078466A">
            <w:pPr>
              <w:jc w:val="center"/>
              <w:rPr>
                <w:rFonts w:ascii="Times New Roman" w:hAnsi="Times New Roman"/>
                <w:b/>
                <w:sz w:val="24"/>
                <w:szCs w:val="24"/>
              </w:rPr>
            </w:pPr>
          </w:p>
          <w:p w:rsidR="0078466A" w:rsidRPr="0078466A" w:rsidRDefault="0078466A" w:rsidP="0078466A">
            <w:pPr>
              <w:jc w:val="center"/>
              <w:rPr>
                <w:rFonts w:ascii="Times New Roman" w:hAnsi="Times New Roman"/>
                <w:b/>
                <w:sz w:val="24"/>
                <w:szCs w:val="24"/>
              </w:rPr>
            </w:pPr>
            <w:r w:rsidRPr="0078466A">
              <w:rPr>
                <w:rFonts w:ascii="Times New Roman" w:hAnsi="Times New Roman"/>
                <w:b/>
                <w:sz w:val="24"/>
                <w:szCs w:val="24"/>
              </w:rPr>
              <w:t>№</w:t>
            </w:r>
          </w:p>
          <w:p w:rsidR="0078466A" w:rsidRPr="0078466A" w:rsidRDefault="0078466A" w:rsidP="0078466A">
            <w:pPr>
              <w:jc w:val="center"/>
              <w:rPr>
                <w:rFonts w:ascii="Times New Roman" w:hAnsi="Times New Roman"/>
                <w:b/>
                <w:sz w:val="24"/>
                <w:szCs w:val="24"/>
              </w:rPr>
            </w:pPr>
            <w:r w:rsidRPr="0078466A">
              <w:rPr>
                <w:rFonts w:ascii="Times New Roman" w:hAnsi="Times New Roman"/>
                <w:b/>
                <w:sz w:val="24"/>
                <w:szCs w:val="24"/>
              </w:rPr>
              <w:t>п/п</w:t>
            </w:r>
          </w:p>
        </w:tc>
        <w:tc>
          <w:tcPr>
            <w:tcW w:w="3338" w:type="dxa"/>
            <w:vAlign w:val="center"/>
          </w:tcPr>
          <w:p w:rsidR="0078466A" w:rsidRPr="0078466A" w:rsidRDefault="0078466A" w:rsidP="0078466A">
            <w:pPr>
              <w:jc w:val="center"/>
              <w:rPr>
                <w:rFonts w:ascii="Times New Roman" w:hAnsi="Times New Roman"/>
                <w:b/>
                <w:sz w:val="24"/>
                <w:szCs w:val="24"/>
              </w:rPr>
            </w:pPr>
            <w:r w:rsidRPr="0078466A">
              <w:rPr>
                <w:rFonts w:ascii="Times New Roman" w:hAnsi="Times New Roman"/>
                <w:b/>
                <w:sz w:val="24"/>
                <w:szCs w:val="24"/>
              </w:rPr>
              <w:t xml:space="preserve">Наименование тем </w:t>
            </w:r>
          </w:p>
        </w:tc>
        <w:tc>
          <w:tcPr>
            <w:tcW w:w="5811" w:type="dxa"/>
            <w:vAlign w:val="center"/>
          </w:tcPr>
          <w:p w:rsidR="0078466A" w:rsidRPr="0078466A" w:rsidRDefault="0078466A" w:rsidP="0078466A">
            <w:pPr>
              <w:jc w:val="center"/>
              <w:rPr>
                <w:rFonts w:ascii="Times New Roman" w:hAnsi="Times New Roman"/>
                <w:b/>
                <w:sz w:val="24"/>
                <w:szCs w:val="24"/>
              </w:rPr>
            </w:pPr>
            <w:r w:rsidRPr="0078466A">
              <w:rPr>
                <w:rFonts w:ascii="Times New Roman" w:hAnsi="Times New Roman"/>
                <w:b/>
                <w:sz w:val="24"/>
                <w:szCs w:val="24"/>
              </w:rPr>
              <w:t xml:space="preserve">Содержание обучения по темам, наименование и тематика практических занятий, самостоятельной работы слушателя </w:t>
            </w:r>
          </w:p>
        </w:tc>
      </w:tr>
      <w:tr w:rsidR="0078466A" w:rsidRPr="0078466A" w:rsidTr="00687CEE">
        <w:tc>
          <w:tcPr>
            <w:tcW w:w="598" w:type="dxa"/>
            <w:gridSpan w:val="2"/>
            <w:vAlign w:val="center"/>
          </w:tcPr>
          <w:p w:rsidR="0078466A" w:rsidRPr="0078466A" w:rsidRDefault="0078466A" w:rsidP="0078466A">
            <w:pPr>
              <w:rPr>
                <w:rFonts w:ascii="Times New Roman" w:hAnsi="Times New Roman"/>
                <w:sz w:val="24"/>
                <w:szCs w:val="24"/>
              </w:rPr>
            </w:pPr>
            <w:r w:rsidRPr="0078466A">
              <w:rPr>
                <w:rFonts w:ascii="Times New Roman" w:hAnsi="Times New Roman"/>
                <w:sz w:val="24"/>
                <w:szCs w:val="24"/>
              </w:rPr>
              <w:t>1</w:t>
            </w:r>
          </w:p>
        </w:tc>
        <w:tc>
          <w:tcPr>
            <w:tcW w:w="3338" w:type="dxa"/>
          </w:tcPr>
          <w:p w:rsidR="0078466A" w:rsidRPr="0078466A" w:rsidRDefault="0078466A" w:rsidP="0078466A">
            <w:pPr>
              <w:shd w:val="clear" w:color="auto" w:fill="FFFFFF"/>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Управленческий учет</w:t>
            </w:r>
          </w:p>
        </w:tc>
        <w:tc>
          <w:tcPr>
            <w:tcW w:w="5811" w:type="dxa"/>
            <w:vAlign w:val="center"/>
          </w:tcPr>
          <w:p w:rsidR="0078466A" w:rsidRPr="0078466A" w:rsidRDefault="0078466A" w:rsidP="0078466A">
            <w:pPr>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 xml:space="preserve">Управленческий учёт: понятие управленческого учёта и его отличие от финансового учёта.             Классификация затрат для целей управления. Системы управленческого учёта. Управление                    текущими затратами. Управление затратами при принятии краткосрочных управленческих               решений. Основные направления маржинального анализа при принятии управленческих решений. </w:t>
            </w:r>
          </w:p>
        </w:tc>
      </w:tr>
      <w:tr w:rsidR="0078466A" w:rsidRPr="0078466A" w:rsidTr="00687CEE">
        <w:tc>
          <w:tcPr>
            <w:tcW w:w="598" w:type="dxa"/>
            <w:gridSpan w:val="2"/>
            <w:vAlign w:val="center"/>
          </w:tcPr>
          <w:p w:rsidR="0078466A" w:rsidRPr="0078466A" w:rsidRDefault="0078466A" w:rsidP="0078466A">
            <w:pPr>
              <w:rPr>
                <w:rFonts w:ascii="Times New Roman" w:hAnsi="Times New Roman"/>
                <w:sz w:val="24"/>
                <w:szCs w:val="24"/>
              </w:rPr>
            </w:pPr>
            <w:r w:rsidRPr="0078466A">
              <w:rPr>
                <w:rFonts w:ascii="Times New Roman" w:hAnsi="Times New Roman"/>
                <w:sz w:val="24"/>
                <w:szCs w:val="24"/>
              </w:rPr>
              <w:t>2</w:t>
            </w:r>
          </w:p>
        </w:tc>
        <w:tc>
          <w:tcPr>
            <w:tcW w:w="3338" w:type="dxa"/>
          </w:tcPr>
          <w:p w:rsidR="0078466A" w:rsidRPr="0078466A" w:rsidRDefault="0078466A" w:rsidP="0078466A">
            <w:pPr>
              <w:shd w:val="clear" w:color="auto" w:fill="FFFFFF"/>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 xml:space="preserve">Ценовая политика и   </w:t>
            </w:r>
          </w:p>
          <w:p w:rsidR="0078466A" w:rsidRPr="0078466A" w:rsidRDefault="0078466A" w:rsidP="0078466A">
            <w:pPr>
              <w:shd w:val="clear" w:color="auto" w:fill="FFFFFF"/>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Ценообразование</w:t>
            </w:r>
          </w:p>
        </w:tc>
        <w:tc>
          <w:tcPr>
            <w:tcW w:w="5811" w:type="dxa"/>
            <w:vAlign w:val="center"/>
          </w:tcPr>
          <w:p w:rsidR="0078466A" w:rsidRPr="0078466A" w:rsidRDefault="0078466A" w:rsidP="0078466A">
            <w:pPr>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 xml:space="preserve">Ценовая политика и ценообразование. Цены и проблемы коммерческого </w:t>
            </w:r>
            <w:proofErr w:type="gramStart"/>
            <w:r w:rsidRPr="0078466A">
              <w:rPr>
                <w:rFonts w:ascii="Times New Roman" w:hAnsi="Times New Roman"/>
                <w:bCs/>
                <w:sz w:val="24"/>
                <w:szCs w:val="24"/>
              </w:rPr>
              <w:t xml:space="preserve">ценообразования,   </w:t>
            </w:r>
            <w:proofErr w:type="gramEnd"/>
            <w:r w:rsidRPr="0078466A">
              <w:rPr>
                <w:rFonts w:ascii="Times New Roman" w:hAnsi="Times New Roman"/>
                <w:bCs/>
                <w:sz w:val="24"/>
                <w:szCs w:val="24"/>
              </w:rPr>
              <w:t xml:space="preserve">          рыночные факторы ценообразования, ценовая политика, ценовая стратегия, методы ценообразования. Способы    приспособления цены к конкретным условиям рынка.</w:t>
            </w:r>
          </w:p>
        </w:tc>
      </w:tr>
      <w:tr w:rsidR="0078466A" w:rsidRPr="0078466A" w:rsidTr="00687CEE">
        <w:tc>
          <w:tcPr>
            <w:tcW w:w="576" w:type="dxa"/>
            <w:vAlign w:val="center"/>
          </w:tcPr>
          <w:p w:rsidR="0078466A" w:rsidRPr="0078466A" w:rsidRDefault="0078466A" w:rsidP="0078466A">
            <w:pPr>
              <w:rPr>
                <w:rFonts w:ascii="Times New Roman" w:hAnsi="Times New Roman"/>
                <w:noProof/>
                <w:sz w:val="24"/>
                <w:szCs w:val="24"/>
              </w:rPr>
            </w:pPr>
            <w:r w:rsidRPr="0078466A">
              <w:rPr>
                <w:rFonts w:ascii="Times New Roman" w:hAnsi="Times New Roman"/>
                <w:noProof/>
                <w:sz w:val="24"/>
                <w:szCs w:val="24"/>
              </w:rPr>
              <w:t>3</w:t>
            </w:r>
          </w:p>
        </w:tc>
        <w:tc>
          <w:tcPr>
            <w:tcW w:w="3360" w:type="dxa"/>
            <w:gridSpan w:val="2"/>
          </w:tcPr>
          <w:p w:rsidR="0078466A" w:rsidRPr="0078466A" w:rsidRDefault="0078466A" w:rsidP="0078466A">
            <w:pPr>
              <w:shd w:val="clear" w:color="auto" w:fill="FFFFFF"/>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Разработка финансовой и налоговой политики организации</w:t>
            </w:r>
          </w:p>
        </w:tc>
        <w:tc>
          <w:tcPr>
            <w:tcW w:w="5811" w:type="dxa"/>
            <w:vAlign w:val="center"/>
          </w:tcPr>
          <w:p w:rsidR="0078466A" w:rsidRPr="0078466A" w:rsidRDefault="0078466A" w:rsidP="0078466A">
            <w:pPr>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 xml:space="preserve">Планирование и управление экономической деятельностью организации. </w:t>
            </w:r>
            <w:proofErr w:type="gramStart"/>
            <w:r w:rsidRPr="0078466A">
              <w:rPr>
                <w:rFonts w:ascii="Times New Roman" w:hAnsi="Times New Roman"/>
                <w:bCs/>
                <w:sz w:val="24"/>
                <w:szCs w:val="24"/>
              </w:rPr>
              <w:t>Разработка  финансовой</w:t>
            </w:r>
            <w:proofErr w:type="gramEnd"/>
            <w:r w:rsidRPr="0078466A">
              <w:rPr>
                <w:rFonts w:ascii="Times New Roman" w:hAnsi="Times New Roman"/>
                <w:bCs/>
                <w:sz w:val="24"/>
                <w:szCs w:val="24"/>
              </w:rPr>
              <w:t xml:space="preserve"> и налоговой политики организации </w:t>
            </w:r>
          </w:p>
          <w:p w:rsidR="0078466A" w:rsidRPr="0078466A" w:rsidRDefault="0078466A" w:rsidP="0078466A">
            <w:pPr>
              <w:tabs>
                <w:tab w:val="num" w:pos="1440"/>
              </w:tabs>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 xml:space="preserve">Задачи налогового планирования. Бюджет расчётов по налогам. Учётная политика для целей               налогообложения. Договорная политика организации: влияние формы и условий заключения                     хозяйственных    договоров на налоговые платежи. </w:t>
            </w:r>
          </w:p>
          <w:p w:rsidR="0078466A" w:rsidRPr="0078466A" w:rsidRDefault="0078466A" w:rsidP="0078466A">
            <w:pPr>
              <w:rPr>
                <w:rFonts w:ascii="Times New Roman" w:hAnsi="Times New Roman"/>
                <w:bCs/>
                <w:sz w:val="24"/>
                <w:szCs w:val="24"/>
              </w:rPr>
            </w:pPr>
          </w:p>
        </w:tc>
      </w:tr>
      <w:tr w:rsidR="0078466A" w:rsidRPr="0078466A" w:rsidTr="00687CEE">
        <w:tc>
          <w:tcPr>
            <w:tcW w:w="576" w:type="dxa"/>
            <w:vAlign w:val="center"/>
          </w:tcPr>
          <w:p w:rsidR="0078466A" w:rsidRPr="0078466A" w:rsidRDefault="0078466A" w:rsidP="0078466A">
            <w:pPr>
              <w:rPr>
                <w:rFonts w:ascii="Times New Roman" w:hAnsi="Times New Roman"/>
                <w:noProof/>
                <w:sz w:val="24"/>
                <w:szCs w:val="24"/>
              </w:rPr>
            </w:pPr>
            <w:r w:rsidRPr="0078466A">
              <w:rPr>
                <w:rFonts w:ascii="Times New Roman" w:hAnsi="Times New Roman"/>
                <w:noProof/>
                <w:sz w:val="24"/>
                <w:szCs w:val="24"/>
              </w:rPr>
              <w:t xml:space="preserve"> 4</w:t>
            </w:r>
          </w:p>
        </w:tc>
        <w:tc>
          <w:tcPr>
            <w:tcW w:w="3360" w:type="dxa"/>
            <w:gridSpan w:val="2"/>
          </w:tcPr>
          <w:p w:rsidR="0078466A" w:rsidRPr="0078466A" w:rsidRDefault="0078466A" w:rsidP="0078466A">
            <w:pPr>
              <w:shd w:val="clear" w:color="auto" w:fill="FFFFFF"/>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Эффективное управление внешнеэкономической деятельностью организации</w:t>
            </w:r>
          </w:p>
        </w:tc>
        <w:tc>
          <w:tcPr>
            <w:tcW w:w="5811" w:type="dxa"/>
            <w:vAlign w:val="center"/>
          </w:tcPr>
          <w:p w:rsidR="0078466A" w:rsidRPr="0078466A" w:rsidRDefault="0078466A" w:rsidP="0078466A">
            <w:pPr>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 xml:space="preserve">Эффективное управление внешнеэкономической деятельностью (ВЭД) в организации.                          Цели, принципы и механизм регулирования ВЭД. Сущность и цели нетарифного регулирования ВЭД. Лицензирование и квотирование. Законодательные основы осуществления валютного контроля. Система валютного контроля в практике таможенного оформления. Понятие и правовые нормы заключения внешнеторговой сделки. Основы таможенного контроля в Российской Федерации.            Виды таможенных платежей, цели их взимания. Порядок начисления таможенных платежей. </w:t>
            </w:r>
          </w:p>
          <w:p w:rsidR="0078466A" w:rsidRPr="0078466A" w:rsidRDefault="0078466A" w:rsidP="0078466A">
            <w:pPr>
              <w:rPr>
                <w:rFonts w:ascii="Times New Roman" w:hAnsi="Times New Roman"/>
                <w:bCs/>
                <w:sz w:val="24"/>
                <w:szCs w:val="24"/>
              </w:rPr>
            </w:pPr>
          </w:p>
        </w:tc>
      </w:tr>
      <w:tr w:rsidR="0078466A" w:rsidRPr="0078466A" w:rsidTr="00687CEE">
        <w:tc>
          <w:tcPr>
            <w:tcW w:w="576" w:type="dxa"/>
            <w:vAlign w:val="center"/>
          </w:tcPr>
          <w:p w:rsidR="0078466A" w:rsidRPr="0078466A" w:rsidRDefault="0078466A" w:rsidP="0078466A">
            <w:pPr>
              <w:rPr>
                <w:rFonts w:ascii="Times New Roman" w:hAnsi="Times New Roman"/>
                <w:noProof/>
                <w:sz w:val="24"/>
                <w:szCs w:val="24"/>
              </w:rPr>
            </w:pPr>
            <w:r w:rsidRPr="0078466A">
              <w:rPr>
                <w:rFonts w:ascii="Times New Roman" w:hAnsi="Times New Roman"/>
                <w:noProof/>
                <w:sz w:val="24"/>
                <w:szCs w:val="24"/>
              </w:rPr>
              <w:t>5</w:t>
            </w:r>
          </w:p>
        </w:tc>
        <w:tc>
          <w:tcPr>
            <w:tcW w:w="3360" w:type="dxa"/>
            <w:gridSpan w:val="2"/>
          </w:tcPr>
          <w:p w:rsidR="0078466A" w:rsidRPr="0078466A" w:rsidRDefault="0078466A" w:rsidP="0078466A">
            <w:pPr>
              <w:shd w:val="clear" w:color="auto" w:fill="FFFFFF"/>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Стратегия финансово-экономической службы как составляющая стратегии организации</w:t>
            </w:r>
          </w:p>
        </w:tc>
        <w:tc>
          <w:tcPr>
            <w:tcW w:w="5811" w:type="dxa"/>
            <w:vAlign w:val="center"/>
          </w:tcPr>
          <w:p w:rsidR="0078466A" w:rsidRPr="0078466A" w:rsidRDefault="0078466A" w:rsidP="0078466A">
            <w:pPr>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 xml:space="preserve">Стратегия финансово-экономической службы (ФЭС) как составляющая стратегии организации/компании. Организационная структура ФЭС, её место </w:t>
            </w:r>
            <w:proofErr w:type="gramStart"/>
            <w:r w:rsidRPr="0078466A">
              <w:rPr>
                <w:rFonts w:ascii="Times New Roman" w:hAnsi="Times New Roman"/>
                <w:bCs/>
                <w:sz w:val="24"/>
                <w:szCs w:val="24"/>
              </w:rPr>
              <w:t>в  структуре</w:t>
            </w:r>
            <w:proofErr w:type="gramEnd"/>
            <w:r w:rsidRPr="0078466A">
              <w:rPr>
                <w:rFonts w:ascii="Times New Roman" w:hAnsi="Times New Roman"/>
                <w:bCs/>
                <w:sz w:val="24"/>
                <w:szCs w:val="24"/>
              </w:rPr>
              <w:t xml:space="preserve"> организации/компании.</w:t>
            </w:r>
          </w:p>
          <w:p w:rsidR="0078466A" w:rsidRPr="0078466A" w:rsidRDefault="0078466A" w:rsidP="0078466A">
            <w:pPr>
              <w:rPr>
                <w:rFonts w:ascii="Times New Roman" w:hAnsi="Times New Roman"/>
                <w:bCs/>
                <w:sz w:val="24"/>
                <w:szCs w:val="24"/>
              </w:rPr>
            </w:pPr>
          </w:p>
        </w:tc>
      </w:tr>
      <w:tr w:rsidR="0078466A" w:rsidRPr="0078466A" w:rsidTr="00687CEE">
        <w:tc>
          <w:tcPr>
            <w:tcW w:w="576" w:type="dxa"/>
            <w:vAlign w:val="center"/>
          </w:tcPr>
          <w:p w:rsidR="0078466A" w:rsidRPr="0078466A" w:rsidRDefault="0078466A" w:rsidP="0078466A">
            <w:pPr>
              <w:rPr>
                <w:rFonts w:ascii="Times New Roman" w:hAnsi="Times New Roman"/>
                <w:noProof/>
                <w:sz w:val="24"/>
                <w:szCs w:val="24"/>
              </w:rPr>
            </w:pPr>
            <w:r w:rsidRPr="0078466A">
              <w:rPr>
                <w:rFonts w:ascii="Times New Roman" w:hAnsi="Times New Roman"/>
                <w:noProof/>
                <w:sz w:val="24"/>
                <w:szCs w:val="24"/>
              </w:rPr>
              <w:t>6</w:t>
            </w:r>
          </w:p>
        </w:tc>
        <w:tc>
          <w:tcPr>
            <w:tcW w:w="3360" w:type="dxa"/>
            <w:gridSpan w:val="2"/>
          </w:tcPr>
          <w:p w:rsidR="0078466A" w:rsidRPr="0078466A" w:rsidRDefault="0078466A" w:rsidP="0078466A">
            <w:pPr>
              <w:shd w:val="clear" w:color="auto" w:fill="FFFFFF"/>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Управленческий анализ</w:t>
            </w:r>
          </w:p>
        </w:tc>
        <w:tc>
          <w:tcPr>
            <w:tcW w:w="5811" w:type="dxa"/>
            <w:vAlign w:val="center"/>
          </w:tcPr>
          <w:p w:rsidR="0078466A" w:rsidRPr="0078466A" w:rsidRDefault="0078466A" w:rsidP="0078466A">
            <w:pPr>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 xml:space="preserve">Управленческий анализ. Анализ основных фондов организации: наличия, движения, структуры </w:t>
            </w:r>
            <w:r w:rsidRPr="0078466A">
              <w:rPr>
                <w:rFonts w:ascii="Times New Roman" w:hAnsi="Times New Roman"/>
                <w:bCs/>
                <w:sz w:val="24"/>
                <w:szCs w:val="24"/>
              </w:rPr>
              <w:lastRenderedPageBreak/>
              <w:t xml:space="preserve">основных фондов. Анализ эффективность использования основных фондов организации. Анализ трудовых    ресурсов и фонда заработной платы организации. Анализ затрат: классификация затрат на производство, факторный и </w:t>
            </w:r>
            <w:proofErr w:type="spellStart"/>
            <w:proofErr w:type="gramStart"/>
            <w:r w:rsidRPr="0078466A">
              <w:rPr>
                <w:rFonts w:ascii="Times New Roman" w:hAnsi="Times New Roman"/>
                <w:bCs/>
                <w:sz w:val="24"/>
                <w:szCs w:val="24"/>
              </w:rPr>
              <w:t>попроцессный</w:t>
            </w:r>
            <w:proofErr w:type="spellEnd"/>
            <w:r w:rsidRPr="0078466A">
              <w:rPr>
                <w:rFonts w:ascii="Times New Roman" w:hAnsi="Times New Roman"/>
                <w:bCs/>
                <w:sz w:val="24"/>
                <w:szCs w:val="24"/>
              </w:rPr>
              <w:t xml:space="preserve">  анализ</w:t>
            </w:r>
            <w:proofErr w:type="gramEnd"/>
            <w:r w:rsidRPr="0078466A">
              <w:rPr>
                <w:rFonts w:ascii="Times New Roman" w:hAnsi="Times New Roman"/>
                <w:bCs/>
                <w:sz w:val="24"/>
                <w:szCs w:val="24"/>
              </w:rPr>
              <w:t xml:space="preserve"> затрат. Разработка плана по снижению затрат. </w:t>
            </w:r>
          </w:p>
          <w:p w:rsidR="0078466A" w:rsidRPr="0078466A" w:rsidRDefault="0078466A" w:rsidP="0078466A">
            <w:pPr>
              <w:rPr>
                <w:rFonts w:ascii="Times New Roman" w:hAnsi="Times New Roman"/>
                <w:bCs/>
                <w:sz w:val="24"/>
                <w:szCs w:val="24"/>
              </w:rPr>
            </w:pPr>
          </w:p>
        </w:tc>
      </w:tr>
      <w:tr w:rsidR="0078466A" w:rsidRPr="0078466A" w:rsidTr="00687CEE">
        <w:tc>
          <w:tcPr>
            <w:tcW w:w="576" w:type="dxa"/>
            <w:vAlign w:val="center"/>
          </w:tcPr>
          <w:p w:rsidR="0078466A" w:rsidRPr="0078466A" w:rsidRDefault="0078466A" w:rsidP="0078466A">
            <w:pPr>
              <w:rPr>
                <w:rFonts w:ascii="Times New Roman" w:hAnsi="Times New Roman"/>
                <w:noProof/>
                <w:sz w:val="24"/>
                <w:szCs w:val="24"/>
              </w:rPr>
            </w:pPr>
            <w:r w:rsidRPr="0078466A">
              <w:rPr>
                <w:rFonts w:ascii="Times New Roman" w:hAnsi="Times New Roman"/>
                <w:noProof/>
                <w:sz w:val="24"/>
                <w:szCs w:val="24"/>
              </w:rPr>
              <w:lastRenderedPageBreak/>
              <w:t>7</w:t>
            </w:r>
          </w:p>
        </w:tc>
        <w:tc>
          <w:tcPr>
            <w:tcW w:w="3360" w:type="dxa"/>
            <w:gridSpan w:val="2"/>
          </w:tcPr>
          <w:p w:rsidR="0078466A" w:rsidRPr="0078466A" w:rsidRDefault="0078466A" w:rsidP="0078466A">
            <w:pPr>
              <w:shd w:val="clear" w:color="auto" w:fill="FFFFFF"/>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Финансовый анализ</w:t>
            </w:r>
          </w:p>
        </w:tc>
        <w:tc>
          <w:tcPr>
            <w:tcW w:w="5811" w:type="dxa"/>
            <w:vAlign w:val="center"/>
          </w:tcPr>
          <w:p w:rsidR="0078466A" w:rsidRPr="0078466A" w:rsidRDefault="0078466A" w:rsidP="0078466A">
            <w:pPr>
              <w:overflowPunct/>
              <w:autoSpaceDE/>
              <w:autoSpaceDN/>
              <w:adjustRightInd/>
              <w:textAlignment w:val="auto"/>
              <w:rPr>
                <w:rFonts w:ascii="Times New Roman" w:hAnsi="Times New Roman"/>
                <w:bCs/>
                <w:sz w:val="24"/>
                <w:szCs w:val="24"/>
              </w:rPr>
            </w:pPr>
            <w:r w:rsidRPr="0078466A">
              <w:rPr>
                <w:rFonts w:ascii="Times New Roman" w:hAnsi="Times New Roman"/>
                <w:bCs/>
                <w:sz w:val="24"/>
                <w:szCs w:val="24"/>
              </w:rPr>
              <w:t xml:space="preserve">Финансовый анализ: определение, основные задачи и методы проведения. Пользователи результатов финансового анализа. Роль финансового анализа в управлении деятельностью организации. </w:t>
            </w:r>
          </w:p>
          <w:p w:rsidR="0078466A" w:rsidRPr="0078466A" w:rsidRDefault="0078466A" w:rsidP="0078466A">
            <w:pPr>
              <w:rPr>
                <w:rFonts w:ascii="Times New Roman" w:hAnsi="Times New Roman"/>
                <w:bCs/>
                <w:sz w:val="24"/>
                <w:szCs w:val="24"/>
              </w:rPr>
            </w:pPr>
            <w:r w:rsidRPr="0078466A">
              <w:rPr>
                <w:rFonts w:ascii="Times New Roman" w:hAnsi="Times New Roman"/>
                <w:bCs/>
                <w:sz w:val="24"/>
                <w:szCs w:val="24"/>
              </w:rPr>
              <w:t>Принятие управленческих решений</w:t>
            </w:r>
          </w:p>
        </w:tc>
      </w:tr>
    </w:tbl>
    <w:p w:rsidR="0078466A" w:rsidRPr="0078466A" w:rsidRDefault="0078466A" w:rsidP="00784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aps/>
          <w:sz w:val="24"/>
          <w:szCs w:val="24"/>
        </w:rPr>
      </w:pPr>
    </w:p>
    <w:p w:rsidR="00794158" w:rsidRPr="0007522E" w:rsidRDefault="00794158" w:rsidP="00C465F8">
      <w:pPr>
        <w:suppressAutoHyphens/>
        <w:rPr>
          <w:rFonts w:ascii="Times New Roman" w:hAnsi="Times New Roman"/>
          <w:iCs/>
          <w:sz w:val="24"/>
          <w:szCs w:val="24"/>
        </w:rPr>
      </w:pPr>
    </w:p>
    <w:sectPr w:rsidR="00794158" w:rsidRPr="0007522E" w:rsidSect="001A082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A55C7"/>
    <w:rsid w:val="000C4721"/>
    <w:rsid w:val="001A082F"/>
    <w:rsid w:val="003A4FCD"/>
    <w:rsid w:val="004B5A9E"/>
    <w:rsid w:val="004C4283"/>
    <w:rsid w:val="00551C1D"/>
    <w:rsid w:val="00773851"/>
    <w:rsid w:val="0078466A"/>
    <w:rsid w:val="00793C02"/>
    <w:rsid w:val="00794158"/>
    <w:rsid w:val="008A55C7"/>
    <w:rsid w:val="00C4194D"/>
    <w:rsid w:val="00C465F8"/>
    <w:rsid w:val="00FC7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D4639-8694-4A32-9599-10B6176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2F"/>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4158"/>
    <w:pPr>
      <w:overflowPunct/>
      <w:autoSpaceDE/>
      <w:autoSpaceDN/>
      <w:adjustRightInd/>
      <w:spacing w:after="200" w:line="276" w:lineRule="auto"/>
      <w:ind w:left="720"/>
      <w:contextualSpacing/>
      <w:jc w:val="left"/>
      <w:textAlignment w:val="auto"/>
    </w:pPr>
    <w:rPr>
      <w:rFonts w:ascii="Calibri" w:hAnsi="Calibri"/>
      <w:sz w:val="28"/>
      <w:szCs w:val="22"/>
      <w:lang w:eastAsia="en-US"/>
    </w:rPr>
  </w:style>
  <w:style w:type="paragraph" w:styleId="a5">
    <w:name w:val="Normal (Web)"/>
    <w:basedOn w:val="a"/>
    <w:uiPriority w:val="99"/>
    <w:rsid w:val="004C4283"/>
    <w:pPr>
      <w:overflowPunct/>
      <w:autoSpaceDE/>
      <w:autoSpaceDN/>
      <w:adjustRightInd/>
      <w:spacing w:before="100" w:beforeAutospacing="1" w:after="100" w:afterAutospacing="1"/>
      <w:jc w:val="left"/>
      <w:textAlignment w:val="auto"/>
    </w:pPr>
    <w:rPr>
      <w:rFonts w:ascii="Times New Roman" w:hAnsi="Times New Roman"/>
      <w:sz w:val="24"/>
      <w:szCs w:val="24"/>
      <w:lang w:eastAsia="en-US"/>
    </w:rPr>
  </w:style>
  <w:style w:type="character" w:customStyle="1" w:styleId="a4">
    <w:name w:val="Абзац списка Знак"/>
    <w:link w:val="a3"/>
    <w:uiPriority w:val="34"/>
    <w:rsid w:val="004C4283"/>
    <w:rPr>
      <w:rFonts w:ascii="Calibri" w:eastAsia="Times New Roman"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Дугина Юлия Игоревна</dc:creator>
  <cp:keywords/>
  <dc:description/>
  <cp:lastModifiedBy>Дугина Юлия Игоревна</cp:lastModifiedBy>
  <cp:revision>12</cp:revision>
  <dcterms:created xsi:type="dcterms:W3CDTF">2021-02-19T12:18:00Z</dcterms:created>
  <dcterms:modified xsi:type="dcterms:W3CDTF">2021-03-31T11:47:00Z</dcterms:modified>
</cp:coreProperties>
</file>