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4B5A9E" w:rsidRDefault="004B5A9E" w:rsidP="004B5A9E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65255">
        <w:rPr>
          <w:rFonts w:ascii="Times New Roman" w:hAnsi="Times New Roman"/>
          <w:b/>
          <w:sz w:val="28"/>
          <w:szCs w:val="28"/>
        </w:rPr>
        <w:t>«Управление дебиторской задолженностью»</w:t>
      </w:r>
    </w:p>
    <w:bookmarkEnd w:id="0"/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p w:rsidR="00794158" w:rsidRP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p w:rsidR="004C4283" w:rsidRPr="004C4283" w:rsidRDefault="004C4283" w:rsidP="004C4283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4C4283">
        <w:rPr>
          <w:rFonts w:ascii="Times New Roman" w:hAnsi="Times New Roman"/>
          <w:iCs/>
          <w:sz w:val="24"/>
          <w:szCs w:val="24"/>
        </w:rPr>
        <w:t>Дисциплина (Модуль) 1. Наименование дисциплины (модуля).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"/>
        <w:gridCol w:w="3338"/>
        <w:gridCol w:w="5811"/>
      </w:tblGrid>
      <w:tr w:rsidR="004B5A9E" w:rsidRPr="004B5A9E" w:rsidTr="00687CEE">
        <w:trPr>
          <w:trHeight w:val="937"/>
        </w:trPr>
        <w:tc>
          <w:tcPr>
            <w:tcW w:w="598" w:type="dxa"/>
            <w:gridSpan w:val="2"/>
          </w:tcPr>
          <w:p w:rsidR="004B5A9E" w:rsidRPr="004B5A9E" w:rsidRDefault="004B5A9E" w:rsidP="004B5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A9E" w:rsidRPr="004B5A9E" w:rsidRDefault="004B5A9E" w:rsidP="004B5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B5A9E" w:rsidRPr="004B5A9E" w:rsidRDefault="004B5A9E" w:rsidP="004B5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38" w:type="dxa"/>
            <w:vAlign w:val="center"/>
          </w:tcPr>
          <w:p w:rsidR="004B5A9E" w:rsidRPr="004B5A9E" w:rsidRDefault="004B5A9E" w:rsidP="004B5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5811" w:type="dxa"/>
            <w:vAlign w:val="center"/>
          </w:tcPr>
          <w:p w:rsidR="004B5A9E" w:rsidRPr="004B5A9E" w:rsidRDefault="004B5A9E" w:rsidP="004B5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4B5A9E" w:rsidRPr="004B5A9E" w:rsidTr="00687CEE">
        <w:tc>
          <w:tcPr>
            <w:tcW w:w="598" w:type="dxa"/>
            <w:gridSpan w:val="2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</w:rPr>
            </w:pPr>
            <w:r w:rsidRPr="004B5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>Дебиторская задолженность как элемент финансовой отчетности организации</w:t>
            </w:r>
          </w:p>
        </w:tc>
        <w:tc>
          <w:tcPr>
            <w:tcW w:w="5811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Учёт дебиторской задолженности в организации. Бухгалтерский и налоговый учёт дебиторской задолженности. Формирование резервов по сомнительным долгам. Списание дебиторской задолженности. Дебиторская задолженность как элемент финансовой отчётности организации. Сущность дебиторской задолженности. Процесс формирования дебиторской задолженности. </w:t>
            </w:r>
          </w:p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Классификация дебиторской задолженности. </w:t>
            </w:r>
          </w:p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5A9E" w:rsidRPr="004B5A9E" w:rsidTr="00687CEE">
        <w:tc>
          <w:tcPr>
            <w:tcW w:w="598" w:type="dxa"/>
            <w:gridSpan w:val="2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</w:rPr>
            </w:pPr>
            <w:r w:rsidRPr="004B5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>Экспресс-анализ дебиторской задолженности</w:t>
            </w:r>
          </w:p>
        </w:tc>
        <w:tc>
          <w:tcPr>
            <w:tcW w:w="5811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Экспресс-анализ дебиторской задолженности организации. Цели и задачи управления дебиторской задолженностью в системе сбалансированных показателей (BSC). Ключевые показатели эффективности (KPI) управления дебиторской задолженностью организации. Организация управленческого учёта и мониторинга дебиторской задолженности. Планирование дебиторской задолженности. Система показателей для анализа дебиторской задолженности. Практика анализа основных показателей. Влияние дебиторской задолженности на финансовый цикл организации. Практикум формирования регламента управления дебиторской задолженностью организации. </w:t>
            </w:r>
          </w:p>
        </w:tc>
      </w:tr>
      <w:tr w:rsidR="004B5A9E" w:rsidRPr="004B5A9E" w:rsidTr="00687CEE">
        <w:tc>
          <w:tcPr>
            <w:tcW w:w="576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5A9E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360" w:type="dxa"/>
            <w:gridSpan w:val="2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дебиторской задолженности</w:t>
            </w:r>
          </w:p>
        </w:tc>
        <w:tc>
          <w:tcPr>
            <w:tcW w:w="5811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>Как эффективно общаться с дебиторами. Особенности установления контактов с различными дебиторами. Как эффективно работать с организациями-дебиторами.</w:t>
            </w:r>
          </w:p>
        </w:tc>
      </w:tr>
      <w:tr w:rsidR="004B5A9E" w:rsidRPr="004B5A9E" w:rsidTr="00687CEE">
        <w:tc>
          <w:tcPr>
            <w:tcW w:w="576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5A9E">
              <w:rPr>
                <w:rFonts w:ascii="Times New Roman" w:hAnsi="Times New Roman"/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3360" w:type="dxa"/>
            <w:gridSpan w:val="2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>Правовые основы управления дебиторской задолженностью</w:t>
            </w:r>
          </w:p>
        </w:tc>
        <w:tc>
          <w:tcPr>
            <w:tcW w:w="5811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дебиторской задолженностью организации. Использование договора факторинга. Страхование дебиторской задолженности. Рейтинговая оценка дебиторов. Мотивационные аспекты управления дебиторской задолженностью. Разработка кредитной политики организации.</w:t>
            </w:r>
          </w:p>
        </w:tc>
      </w:tr>
      <w:tr w:rsidR="004B5A9E" w:rsidRPr="004B5A9E" w:rsidTr="00687CEE">
        <w:tc>
          <w:tcPr>
            <w:tcW w:w="576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5A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60" w:type="dxa"/>
            <w:gridSpan w:val="2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регламента управления дебиторской задолженностью</w:t>
            </w:r>
          </w:p>
        </w:tc>
        <w:tc>
          <w:tcPr>
            <w:tcW w:w="5811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формированию кредитной политики организации.</w:t>
            </w:r>
          </w:p>
        </w:tc>
      </w:tr>
      <w:tr w:rsidR="004B5A9E" w:rsidRPr="004B5A9E" w:rsidTr="00687CEE">
        <w:tc>
          <w:tcPr>
            <w:tcW w:w="576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5A9E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360" w:type="dxa"/>
            <w:gridSpan w:val="2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кредитной политики организации. Практикум по формированию кредитной политики организации</w:t>
            </w:r>
          </w:p>
        </w:tc>
        <w:tc>
          <w:tcPr>
            <w:tcW w:w="5811" w:type="dxa"/>
            <w:vAlign w:val="center"/>
          </w:tcPr>
          <w:p w:rsidR="004B5A9E" w:rsidRPr="004B5A9E" w:rsidRDefault="004B5A9E" w:rsidP="004B5A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Правовые рекомендации по снижению уровня дебиторской задолженности. Рекомендации по предупреждению возникновения дебиторской задолженности. Рекомендации по эффективному ведению претензионной работы. Правовые механизмы управления долговыми обязательствами: </w:t>
            </w:r>
            <w:r w:rsidRPr="004B5A9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погашение обязательств путем сделок отступного, новации, зачёта; уступка дебиторской задолженности). Судебное взыскание долга. Мировое соглашение. Невозможность взыскания. Актуальные вопросы исполнительного производства. Применение в арбитражных судах законодательства о банкротстве. Вопросы использования механизмов уголовного преследования руководителей организаций - злостных должников. Применение информационных систем и технологий при управлении дебиторской задолженностью.</w:t>
            </w:r>
          </w:p>
        </w:tc>
      </w:tr>
    </w:tbl>
    <w:p w:rsidR="004B5A9E" w:rsidRPr="004B5A9E" w:rsidRDefault="004B5A9E" w:rsidP="004B5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</w:rPr>
      </w:pPr>
    </w:p>
    <w:p w:rsidR="00794158" w:rsidRPr="0007522E" w:rsidRDefault="00794158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sectPr w:rsidR="00794158" w:rsidRPr="0007522E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0C4721"/>
    <w:rsid w:val="001A082F"/>
    <w:rsid w:val="003A4FCD"/>
    <w:rsid w:val="004B5A9E"/>
    <w:rsid w:val="004C4283"/>
    <w:rsid w:val="00551C1D"/>
    <w:rsid w:val="00773851"/>
    <w:rsid w:val="00794158"/>
    <w:rsid w:val="008A55C7"/>
    <w:rsid w:val="00C4194D"/>
    <w:rsid w:val="00C465F8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5">
    <w:name w:val="Normal (Web)"/>
    <w:basedOn w:val="a"/>
    <w:uiPriority w:val="99"/>
    <w:rsid w:val="004C428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C4283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10</cp:revision>
  <dcterms:created xsi:type="dcterms:W3CDTF">2021-02-19T12:18:00Z</dcterms:created>
  <dcterms:modified xsi:type="dcterms:W3CDTF">2021-03-31T11:23:00Z</dcterms:modified>
</cp:coreProperties>
</file>