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94D" w:rsidRPr="00F441AD" w:rsidRDefault="00C4194D" w:rsidP="00C4194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8"/>
          <w:szCs w:val="28"/>
        </w:rPr>
      </w:pPr>
      <w:r w:rsidRPr="00F441AD">
        <w:rPr>
          <w:rFonts w:ascii="Times New Roman" w:hAnsi="Times New Roman"/>
          <w:sz w:val="28"/>
          <w:szCs w:val="28"/>
        </w:rPr>
        <w:t xml:space="preserve">Наименование программы </w:t>
      </w:r>
    </w:p>
    <w:p w:rsidR="00C4194D" w:rsidRDefault="00C4194D" w:rsidP="00C4194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8"/>
          <w:szCs w:val="28"/>
        </w:rPr>
      </w:pPr>
      <w:r>
        <w:rPr>
          <w:rFonts w:ascii="Times New Roman" w:hAnsi="Times New Roman"/>
          <w:b/>
          <w:sz w:val="28"/>
          <w:szCs w:val="28"/>
        </w:rPr>
        <w:t>«</w:t>
      </w:r>
      <w:r w:rsidR="000C4721" w:rsidRPr="000C4721">
        <w:rPr>
          <w:rFonts w:ascii="Times New Roman" w:hAnsi="Times New Roman"/>
          <w:b/>
          <w:sz w:val="28"/>
          <w:szCs w:val="28"/>
        </w:rPr>
        <w:t>Бухгалтерский учет и налогообложение. Учетная политика организации</w:t>
      </w:r>
      <w:r w:rsidR="00FC7547">
        <w:rPr>
          <w:rFonts w:ascii="Times New Roman" w:hAnsi="Times New Roman"/>
          <w:b/>
          <w:sz w:val="28"/>
          <w:szCs w:val="28"/>
        </w:rPr>
        <w:t>»</w:t>
      </w:r>
    </w:p>
    <w:p w:rsidR="00C4194D" w:rsidRDefault="00C4194D" w:rsidP="00C465F8">
      <w:pPr>
        <w:suppressAutoHyphens/>
        <w:rPr>
          <w:rFonts w:ascii="Times New Roman" w:hAnsi="Times New Roman"/>
          <w:iCs/>
          <w:sz w:val="24"/>
          <w:szCs w:val="24"/>
        </w:rPr>
      </w:pPr>
      <w:bookmarkStart w:id="0" w:name="_GoBack"/>
      <w:bookmarkEnd w:id="0"/>
    </w:p>
    <w:p w:rsidR="00794158" w:rsidRPr="00794158" w:rsidRDefault="00794158" w:rsidP="00794158">
      <w:pPr>
        <w:spacing w:before="120" w:after="120"/>
        <w:rPr>
          <w:rFonts w:ascii="Times New Roman" w:hAnsi="Times New Roman"/>
          <w:iCs/>
          <w:sz w:val="24"/>
          <w:szCs w:val="24"/>
        </w:rPr>
      </w:pPr>
      <w:r w:rsidRPr="00794158">
        <w:rPr>
          <w:rFonts w:ascii="Times New Roman" w:hAnsi="Times New Roman"/>
          <w:iCs/>
          <w:sz w:val="24"/>
          <w:szCs w:val="24"/>
        </w:rPr>
        <w:t>Рабочие программы учебных дисциплин (модулей), практик и стажировок</w:t>
      </w:r>
    </w:p>
    <w:p w:rsidR="00794158" w:rsidRPr="00C62D99" w:rsidRDefault="00794158" w:rsidP="00794158">
      <w:pPr>
        <w:spacing w:before="120" w:after="120"/>
        <w:rPr>
          <w:rFonts w:ascii="Times New Roman" w:hAnsi="Times New Roman"/>
          <w:i/>
          <w:sz w:val="28"/>
          <w:szCs w:val="28"/>
        </w:rPr>
      </w:pPr>
      <w:r w:rsidRPr="00794158">
        <w:rPr>
          <w:rFonts w:ascii="Times New Roman" w:hAnsi="Times New Roman"/>
          <w:iCs/>
          <w:sz w:val="24"/>
          <w:szCs w:val="24"/>
        </w:rPr>
        <w:t>Дисциплина (Модуль) 1. Наименование дисциплины (модуля).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083"/>
        <w:gridCol w:w="7087"/>
      </w:tblGrid>
      <w:tr w:rsidR="003A4FCD" w:rsidRPr="00073FB9" w:rsidTr="00D2265F">
        <w:trPr>
          <w:trHeight w:val="937"/>
        </w:trPr>
        <w:tc>
          <w:tcPr>
            <w:tcW w:w="577" w:type="dxa"/>
          </w:tcPr>
          <w:p w:rsidR="003A4FCD" w:rsidRPr="00073FB9" w:rsidRDefault="003A4FCD" w:rsidP="00D2265F">
            <w:pPr>
              <w:jc w:val="center"/>
              <w:rPr>
                <w:rFonts w:ascii="Times New Roman" w:hAnsi="Times New Roman"/>
                <w:b/>
                <w:sz w:val="24"/>
                <w:szCs w:val="24"/>
              </w:rPr>
            </w:pPr>
          </w:p>
          <w:p w:rsidR="003A4FCD" w:rsidRPr="00073FB9" w:rsidRDefault="003A4FCD" w:rsidP="00D2265F">
            <w:pPr>
              <w:jc w:val="center"/>
              <w:rPr>
                <w:rFonts w:ascii="Times New Roman" w:hAnsi="Times New Roman"/>
                <w:b/>
                <w:sz w:val="24"/>
                <w:szCs w:val="24"/>
              </w:rPr>
            </w:pPr>
            <w:r w:rsidRPr="00073FB9">
              <w:rPr>
                <w:rFonts w:ascii="Times New Roman" w:hAnsi="Times New Roman"/>
                <w:b/>
                <w:sz w:val="24"/>
                <w:szCs w:val="24"/>
              </w:rPr>
              <w:t>№</w:t>
            </w:r>
          </w:p>
          <w:p w:rsidR="003A4FCD" w:rsidRPr="00073FB9" w:rsidRDefault="003A4FCD" w:rsidP="00D2265F">
            <w:pPr>
              <w:jc w:val="center"/>
              <w:rPr>
                <w:rFonts w:ascii="Times New Roman" w:hAnsi="Times New Roman"/>
                <w:b/>
                <w:sz w:val="24"/>
                <w:szCs w:val="24"/>
              </w:rPr>
            </w:pPr>
            <w:r w:rsidRPr="00073FB9">
              <w:rPr>
                <w:rFonts w:ascii="Times New Roman" w:hAnsi="Times New Roman"/>
                <w:b/>
                <w:sz w:val="24"/>
                <w:szCs w:val="24"/>
              </w:rPr>
              <w:t>п/п</w:t>
            </w:r>
          </w:p>
        </w:tc>
        <w:tc>
          <w:tcPr>
            <w:tcW w:w="2083" w:type="dxa"/>
            <w:vAlign w:val="center"/>
          </w:tcPr>
          <w:p w:rsidR="003A4FCD" w:rsidRPr="00073FB9" w:rsidRDefault="003A4FCD" w:rsidP="00D2265F">
            <w:pPr>
              <w:jc w:val="center"/>
              <w:rPr>
                <w:rFonts w:ascii="Times New Roman" w:hAnsi="Times New Roman"/>
                <w:b/>
                <w:sz w:val="24"/>
                <w:szCs w:val="24"/>
              </w:rPr>
            </w:pPr>
            <w:r w:rsidRPr="00073FB9">
              <w:rPr>
                <w:rFonts w:ascii="Times New Roman" w:hAnsi="Times New Roman"/>
                <w:b/>
                <w:sz w:val="24"/>
                <w:szCs w:val="24"/>
              </w:rPr>
              <w:t xml:space="preserve">Наименование тем </w:t>
            </w:r>
          </w:p>
        </w:tc>
        <w:tc>
          <w:tcPr>
            <w:tcW w:w="7087" w:type="dxa"/>
            <w:vAlign w:val="center"/>
          </w:tcPr>
          <w:p w:rsidR="003A4FCD" w:rsidRPr="00073FB9" w:rsidRDefault="003A4FCD" w:rsidP="00D2265F">
            <w:pPr>
              <w:jc w:val="center"/>
              <w:rPr>
                <w:rFonts w:ascii="Times New Roman" w:hAnsi="Times New Roman"/>
                <w:b/>
                <w:sz w:val="24"/>
                <w:szCs w:val="24"/>
              </w:rPr>
            </w:pPr>
            <w:r w:rsidRPr="00073FB9">
              <w:rPr>
                <w:rFonts w:ascii="Times New Roman" w:hAnsi="Times New Roman"/>
                <w:b/>
                <w:sz w:val="24"/>
                <w:szCs w:val="24"/>
              </w:rPr>
              <w:t xml:space="preserve">Содержание обучения по темам, наименование и тематика практических занятий, самостоятельной работы слушателя </w:t>
            </w:r>
          </w:p>
        </w:tc>
      </w:tr>
      <w:tr w:rsidR="003A4FCD" w:rsidRPr="00073FB9" w:rsidTr="00D2265F">
        <w:tc>
          <w:tcPr>
            <w:tcW w:w="577" w:type="dxa"/>
            <w:vAlign w:val="center"/>
          </w:tcPr>
          <w:p w:rsidR="003A4FCD" w:rsidRPr="00073FB9" w:rsidRDefault="003A4FCD" w:rsidP="00D2265F">
            <w:pPr>
              <w:rPr>
                <w:rFonts w:ascii="Times New Roman" w:hAnsi="Times New Roman"/>
                <w:sz w:val="24"/>
                <w:szCs w:val="24"/>
              </w:rPr>
            </w:pPr>
            <w:r w:rsidRPr="00073FB9">
              <w:rPr>
                <w:rFonts w:ascii="Times New Roman" w:hAnsi="Times New Roman"/>
                <w:sz w:val="24"/>
                <w:szCs w:val="24"/>
              </w:rPr>
              <w:t>1.1</w:t>
            </w:r>
          </w:p>
        </w:tc>
        <w:tc>
          <w:tcPr>
            <w:tcW w:w="2083" w:type="dxa"/>
            <w:vAlign w:val="center"/>
          </w:tcPr>
          <w:p w:rsidR="003A4FCD" w:rsidRPr="00073FB9" w:rsidRDefault="003A4FCD" w:rsidP="00D2265F">
            <w:pPr>
              <w:rPr>
                <w:rFonts w:ascii="Times New Roman" w:hAnsi="Times New Roman"/>
                <w:sz w:val="24"/>
                <w:szCs w:val="24"/>
                <w:lang w:eastAsia="en-US"/>
              </w:rPr>
            </w:pPr>
            <w:r w:rsidRPr="00073FB9">
              <w:rPr>
                <w:rFonts w:ascii="Helvetica" w:hAnsi="Helvetica"/>
                <w:color w:val="333333"/>
                <w:sz w:val="20"/>
              </w:rPr>
              <w:t>Задачи бухгалтерского учёта в обеспечении экономической безопасности организации.</w:t>
            </w:r>
          </w:p>
        </w:tc>
        <w:tc>
          <w:tcPr>
            <w:tcW w:w="7087" w:type="dxa"/>
            <w:vAlign w:val="center"/>
          </w:tcPr>
          <w:p w:rsidR="003A4FCD" w:rsidRPr="00073FB9" w:rsidRDefault="003A4FCD" w:rsidP="00D2265F">
            <w:pPr>
              <w:shd w:val="clear" w:color="auto" w:fill="FFFFFF"/>
              <w:spacing w:after="150"/>
              <w:rPr>
                <w:rFonts w:ascii="Helvetica" w:hAnsi="Helvetica"/>
                <w:color w:val="333333"/>
                <w:sz w:val="20"/>
              </w:rPr>
            </w:pPr>
            <w:r w:rsidRPr="00073FB9">
              <w:rPr>
                <w:rFonts w:ascii="Helvetica" w:hAnsi="Helvetica"/>
                <w:color w:val="333333"/>
                <w:sz w:val="20"/>
              </w:rPr>
              <w:t xml:space="preserve">Бухгалтерская отчетность. Состав, порядок представления. Обеспечение достоверности бухгалтерской отчетности. Организация и задачи внутреннего контроля. Учетная политика для целей бухгалтерского учета. Сложные вопросы формирования отдельных статей бухгалтерской отчётности. Чистые активы как показатель эффективности деятельности организации, порядок расчета, контроля. Полномочия руководителя, главного бухгалтера, иных должностных лиц в части организации и ведения бухгалтерского </w:t>
            </w:r>
            <w:proofErr w:type="gramStart"/>
            <w:r w:rsidRPr="00073FB9">
              <w:rPr>
                <w:rFonts w:ascii="Helvetica" w:hAnsi="Helvetica"/>
                <w:color w:val="333333"/>
                <w:sz w:val="20"/>
              </w:rPr>
              <w:t>учёта.*</w:t>
            </w:r>
            <w:proofErr w:type="gramEnd"/>
            <w:r w:rsidRPr="00073FB9">
              <w:rPr>
                <w:rFonts w:ascii="Helvetica" w:hAnsi="Helvetica"/>
                <w:color w:val="333333"/>
                <w:sz w:val="20"/>
              </w:rPr>
              <w:t>) </w:t>
            </w:r>
          </w:p>
          <w:p w:rsidR="003A4FCD" w:rsidRPr="00073FB9" w:rsidRDefault="003A4FCD" w:rsidP="00D2265F">
            <w:pPr>
              <w:rPr>
                <w:rFonts w:ascii="Times New Roman" w:hAnsi="Times New Roman"/>
                <w:noProof/>
                <w:sz w:val="20"/>
              </w:rPr>
            </w:pPr>
            <w:r w:rsidRPr="00073FB9">
              <w:rPr>
                <w:rFonts w:ascii="Times New Roman" w:hAnsi="Times New Roman"/>
                <w:noProof/>
                <w:sz w:val="20"/>
              </w:rPr>
              <w:t>*)Анализ нормативных актов по бухгалтерскому учёту, принятых на момент проведения занятий.</w:t>
            </w:r>
          </w:p>
        </w:tc>
      </w:tr>
      <w:tr w:rsidR="003A4FCD" w:rsidRPr="00073FB9" w:rsidTr="00D2265F">
        <w:tc>
          <w:tcPr>
            <w:tcW w:w="577" w:type="dxa"/>
            <w:vAlign w:val="center"/>
          </w:tcPr>
          <w:p w:rsidR="003A4FCD" w:rsidRPr="00073FB9" w:rsidRDefault="003A4FCD" w:rsidP="00D2265F">
            <w:pPr>
              <w:rPr>
                <w:rFonts w:ascii="Times New Roman" w:hAnsi="Times New Roman"/>
                <w:sz w:val="24"/>
                <w:szCs w:val="24"/>
              </w:rPr>
            </w:pPr>
            <w:r w:rsidRPr="00073FB9">
              <w:rPr>
                <w:rFonts w:ascii="Times New Roman" w:hAnsi="Times New Roman"/>
                <w:sz w:val="24"/>
                <w:szCs w:val="24"/>
              </w:rPr>
              <w:t>1.2</w:t>
            </w:r>
          </w:p>
        </w:tc>
        <w:tc>
          <w:tcPr>
            <w:tcW w:w="2083" w:type="dxa"/>
            <w:vAlign w:val="center"/>
          </w:tcPr>
          <w:p w:rsidR="003A4FCD" w:rsidRPr="00073FB9" w:rsidRDefault="003A4FCD" w:rsidP="00D2265F">
            <w:pPr>
              <w:rPr>
                <w:rFonts w:ascii="Times New Roman" w:hAnsi="Times New Roman"/>
                <w:i/>
                <w:sz w:val="24"/>
                <w:szCs w:val="24"/>
                <w:lang w:eastAsia="en-US"/>
              </w:rPr>
            </w:pPr>
            <w:r w:rsidRPr="00073FB9">
              <w:rPr>
                <w:rFonts w:ascii="Helvetica" w:hAnsi="Helvetica"/>
                <w:color w:val="333333"/>
                <w:sz w:val="20"/>
              </w:rPr>
              <w:t>Налоговая безопасность как составляющая экономической безопасности организации.</w:t>
            </w:r>
          </w:p>
        </w:tc>
        <w:tc>
          <w:tcPr>
            <w:tcW w:w="7087" w:type="dxa"/>
            <w:vAlign w:val="center"/>
          </w:tcPr>
          <w:p w:rsidR="003A4FCD" w:rsidRPr="00073FB9" w:rsidRDefault="003A4FCD" w:rsidP="00D2265F">
            <w:pPr>
              <w:shd w:val="clear" w:color="auto" w:fill="FFFFFF"/>
              <w:spacing w:after="150"/>
              <w:rPr>
                <w:rFonts w:ascii="Times New Roman" w:hAnsi="Times New Roman"/>
                <w:i/>
                <w:sz w:val="24"/>
                <w:szCs w:val="24"/>
              </w:rPr>
            </w:pPr>
            <w:r w:rsidRPr="00073FB9">
              <w:rPr>
                <w:rFonts w:ascii="Helvetica" w:hAnsi="Helvetica"/>
                <w:color w:val="333333"/>
                <w:sz w:val="20"/>
              </w:rPr>
              <w:t>Налоговое планирование в системе управления экономическим субъектом: задачи налогового планирования (формирование бюджета расчётов по налогам, сборам, взносам, составление и представление налоговой отчётности), налоговые риски и возможные способы их снижения. Организация налогового учёта на предприятии. Учётная политика для целей налогообложения. </w:t>
            </w:r>
          </w:p>
        </w:tc>
      </w:tr>
      <w:tr w:rsidR="003A4FCD" w:rsidRPr="00073FB9" w:rsidTr="00D2265F">
        <w:tc>
          <w:tcPr>
            <w:tcW w:w="577" w:type="dxa"/>
            <w:vAlign w:val="center"/>
          </w:tcPr>
          <w:p w:rsidR="003A4FCD" w:rsidRPr="00073FB9" w:rsidRDefault="003A4FCD" w:rsidP="00D2265F">
            <w:pPr>
              <w:rPr>
                <w:rFonts w:ascii="Times New Roman" w:hAnsi="Times New Roman"/>
                <w:sz w:val="24"/>
                <w:szCs w:val="24"/>
              </w:rPr>
            </w:pPr>
            <w:r w:rsidRPr="00073FB9">
              <w:rPr>
                <w:rFonts w:ascii="Times New Roman" w:hAnsi="Times New Roman"/>
                <w:sz w:val="24"/>
                <w:szCs w:val="24"/>
              </w:rPr>
              <w:t>1.3</w:t>
            </w:r>
          </w:p>
        </w:tc>
        <w:tc>
          <w:tcPr>
            <w:tcW w:w="2083" w:type="dxa"/>
            <w:vAlign w:val="center"/>
          </w:tcPr>
          <w:p w:rsidR="003A4FCD" w:rsidRPr="00073FB9" w:rsidRDefault="003A4FCD" w:rsidP="00D2265F">
            <w:pPr>
              <w:rPr>
                <w:rFonts w:ascii="Helvetica" w:hAnsi="Helvetica"/>
                <w:color w:val="333333"/>
                <w:sz w:val="20"/>
              </w:rPr>
            </w:pPr>
            <w:r w:rsidRPr="00073FB9">
              <w:rPr>
                <w:rFonts w:ascii="Helvetica" w:hAnsi="Helvetica"/>
                <w:color w:val="333333"/>
                <w:sz w:val="20"/>
              </w:rPr>
              <w:t>Проблемные вопросы исчисления федеральных, региональных, местных налогам.</w:t>
            </w:r>
          </w:p>
        </w:tc>
        <w:tc>
          <w:tcPr>
            <w:tcW w:w="7087" w:type="dxa"/>
            <w:vAlign w:val="center"/>
          </w:tcPr>
          <w:p w:rsidR="003A4FCD" w:rsidRPr="00073FB9" w:rsidRDefault="003A4FCD" w:rsidP="00D2265F">
            <w:pPr>
              <w:shd w:val="clear" w:color="auto" w:fill="FFFFFF"/>
              <w:rPr>
                <w:rFonts w:ascii="Helvetica" w:hAnsi="Helvetica"/>
                <w:color w:val="333333"/>
                <w:sz w:val="20"/>
              </w:rPr>
            </w:pPr>
            <w:r w:rsidRPr="00073FB9">
              <w:rPr>
                <w:rFonts w:ascii="Helvetica" w:hAnsi="Helvetica"/>
                <w:color w:val="333333"/>
                <w:sz w:val="20"/>
              </w:rPr>
              <w:t>Налог на прибыль. Проблемные вопросы формирования налоговой базы. Порядок признания в налоговой базе отдельных видов расходов по производству и реализации товаров, работ, услуг, внереализационных доходов и внереализационных расходов. Учёт убытков от продажи основных средств, земельных участков, при уступке права требования. </w:t>
            </w:r>
          </w:p>
          <w:p w:rsidR="003A4FCD" w:rsidRPr="00073FB9" w:rsidRDefault="003A4FCD" w:rsidP="00D2265F">
            <w:pPr>
              <w:shd w:val="clear" w:color="auto" w:fill="FFFFFF"/>
              <w:rPr>
                <w:rFonts w:ascii="Helvetica" w:hAnsi="Helvetica"/>
                <w:color w:val="333333"/>
                <w:sz w:val="20"/>
              </w:rPr>
            </w:pPr>
            <w:r w:rsidRPr="00073FB9">
              <w:rPr>
                <w:rFonts w:ascii="Helvetica" w:hAnsi="Helvetica"/>
                <w:color w:val="333333"/>
                <w:sz w:val="20"/>
              </w:rPr>
              <w:t>НДС. Сложные вопросы формирования налоговой базы и получения налоговых вычетов, порядка ведения раздельного учёта по НДС. </w:t>
            </w:r>
          </w:p>
          <w:p w:rsidR="003A4FCD" w:rsidRPr="00073FB9" w:rsidRDefault="003A4FCD" w:rsidP="00D2265F">
            <w:pPr>
              <w:shd w:val="clear" w:color="auto" w:fill="FFFFFF"/>
              <w:spacing w:after="150"/>
              <w:rPr>
                <w:rFonts w:ascii="Helvetica" w:hAnsi="Helvetica"/>
                <w:color w:val="333333"/>
                <w:sz w:val="20"/>
              </w:rPr>
            </w:pPr>
            <w:r w:rsidRPr="00073FB9">
              <w:rPr>
                <w:rFonts w:ascii="Helvetica" w:hAnsi="Helvetica"/>
                <w:color w:val="333333"/>
                <w:sz w:val="20"/>
              </w:rPr>
              <w:t>Расчёты по региональным налогам. **)</w:t>
            </w:r>
          </w:p>
          <w:p w:rsidR="003A4FCD" w:rsidRPr="00073FB9" w:rsidRDefault="003A4FCD" w:rsidP="00D2265F">
            <w:pPr>
              <w:shd w:val="clear" w:color="auto" w:fill="FFFFFF"/>
              <w:spacing w:after="150"/>
              <w:rPr>
                <w:rFonts w:ascii="Helvetica" w:hAnsi="Helvetica"/>
                <w:sz w:val="20"/>
              </w:rPr>
            </w:pPr>
            <w:r w:rsidRPr="00073FB9">
              <w:rPr>
                <w:rFonts w:ascii="Helvetica" w:hAnsi="Helvetica"/>
                <w:sz w:val="20"/>
              </w:rPr>
              <w:t>**)</w:t>
            </w:r>
            <w:r w:rsidRPr="00073FB9">
              <w:rPr>
                <w:rFonts w:ascii="Helvetica" w:hAnsi="Helvetica"/>
                <w:sz w:val="21"/>
                <w:szCs w:val="21"/>
              </w:rPr>
              <w:t xml:space="preserve"> </w:t>
            </w:r>
            <w:r w:rsidRPr="00073FB9">
              <w:rPr>
                <w:rFonts w:ascii="Helvetica" w:hAnsi="Helvetica"/>
                <w:sz w:val="20"/>
              </w:rPr>
              <w:t xml:space="preserve">Анализ изменений </w:t>
            </w:r>
            <w:proofErr w:type="gramStart"/>
            <w:r w:rsidRPr="00073FB9">
              <w:rPr>
                <w:rFonts w:ascii="Helvetica" w:hAnsi="Helvetica"/>
                <w:sz w:val="20"/>
              </w:rPr>
              <w:t>и  дополнений</w:t>
            </w:r>
            <w:proofErr w:type="gramEnd"/>
            <w:r w:rsidRPr="00073FB9">
              <w:rPr>
                <w:rFonts w:ascii="Helvetica" w:hAnsi="Helvetica"/>
                <w:sz w:val="20"/>
              </w:rPr>
              <w:t>, внесённых  в налоговое законодательство, принятых на момент проведения занятий</w:t>
            </w:r>
          </w:p>
        </w:tc>
      </w:tr>
      <w:tr w:rsidR="003A4FCD" w:rsidRPr="00073FB9" w:rsidTr="00D2265F">
        <w:tc>
          <w:tcPr>
            <w:tcW w:w="577" w:type="dxa"/>
            <w:vAlign w:val="center"/>
          </w:tcPr>
          <w:p w:rsidR="003A4FCD" w:rsidRPr="00073FB9" w:rsidRDefault="003A4FCD" w:rsidP="00D2265F">
            <w:pPr>
              <w:rPr>
                <w:rFonts w:ascii="Times New Roman" w:hAnsi="Times New Roman"/>
                <w:sz w:val="24"/>
                <w:szCs w:val="24"/>
              </w:rPr>
            </w:pPr>
            <w:r w:rsidRPr="00073FB9">
              <w:rPr>
                <w:rFonts w:ascii="Times New Roman" w:hAnsi="Times New Roman"/>
                <w:sz w:val="24"/>
                <w:szCs w:val="24"/>
              </w:rPr>
              <w:t>1.4</w:t>
            </w:r>
          </w:p>
        </w:tc>
        <w:tc>
          <w:tcPr>
            <w:tcW w:w="2083" w:type="dxa"/>
            <w:vAlign w:val="center"/>
          </w:tcPr>
          <w:p w:rsidR="003A4FCD" w:rsidRPr="00073FB9" w:rsidRDefault="003A4FCD" w:rsidP="00D2265F">
            <w:pPr>
              <w:rPr>
                <w:rFonts w:ascii="Helvetica" w:hAnsi="Helvetica"/>
                <w:color w:val="333333"/>
                <w:sz w:val="20"/>
              </w:rPr>
            </w:pPr>
            <w:r w:rsidRPr="00073FB9">
              <w:rPr>
                <w:rFonts w:ascii="Helvetica" w:hAnsi="Helvetica"/>
                <w:color w:val="333333"/>
                <w:sz w:val="20"/>
              </w:rPr>
              <w:t>Договорная политика организации</w:t>
            </w:r>
          </w:p>
        </w:tc>
        <w:tc>
          <w:tcPr>
            <w:tcW w:w="7087" w:type="dxa"/>
            <w:vAlign w:val="center"/>
          </w:tcPr>
          <w:p w:rsidR="003A4FCD" w:rsidRPr="00073FB9" w:rsidRDefault="003A4FCD" w:rsidP="00D2265F">
            <w:pPr>
              <w:shd w:val="clear" w:color="auto" w:fill="FFFFFF"/>
              <w:spacing w:after="150"/>
              <w:rPr>
                <w:rFonts w:ascii="Helvetica" w:hAnsi="Helvetica"/>
                <w:color w:val="333333"/>
                <w:sz w:val="20"/>
              </w:rPr>
            </w:pPr>
            <w:r w:rsidRPr="00073FB9">
              <w:rPr>
                <w:rFonts w:ascii="Helvetica" w:hAnsi="Helvetica"/>
                <w:color w:val="333333"/>
                <w:sz w:val="20"/>
              </w:rPr>
              <w:t>Налоговые аспекты договоров между организацией и физическими лицами. Формы и условия заключения договоров с физическими лицами. Налоговый учёт по НДФЛ и взносам на обязательное социальное страхование. Расчёты с бюджетом и представление отчётности по НДФЛ. Особенности начисления взносов на обязательное социальное страхование на выплаты в рамках трудовых отношений и выплаты по договорам гражданско-правового характера. Учёт выплат физическим лицам при расчёте налога на прибыль, единого налога при упрощённой системе налогообложения в зависимости от условий заключения договора. Возможные правонарушения. </w:t>
            </w:r>
          </w:p>
          <w:p w:rsidR="003A4FCD" w:rsidRPr="00073FB9" w:rsidRDefault="003A4FCD" w:rsidP="00D2265F">
            <w:pPr>
              <w:shd w:val="clear" w:color="auto" w:fill="FFFFFF"/>
              <w:spacing w:after="150"/>
              <w:rPr>
                <w:rFonts w:ascii="Helvetica" w:hAnsi="Helvetica"/>
                <w:color w:val="333333"/>
                <w:sz w:val="20"/>
              </w:rPr>
            </w:pPr>
            <w:r w:rsidRPr="00073FB9">
              <w:rPr>
                <w:rFonts w:ascii="Helvetica" w:hAnsi="Helvetica"/>
                <w:color w:val="333333"/>
                <w:sz w:val="20"/>
              </w:rPr>
              <w:t xml:space="preserve">Налоговые аспекты условий заключения хозяйственного договора. Понятие, признаки мнимых и притворных сделок. Налоговые последствия мнимых и притворных сделок. Налоговые риски, связанные с выбором поставщика (подрядчика), покупателя (заказчика). Оценка налоговой безопасности контрагента. Влияние условий заключения хозяйственного договора на налоговые платежи, сроки исполнения обязательств и проведения расчётов по договорам, объёмы продаж: установление цены на товары (работы, услуги), скидки, предоставляемые покупателям, премии, выплачиваемые покупателям, порядок перехода права собственности на товары, результаты работ, </w:t>
            </w:r>
            <w:r w:rsidRPr="00073FB9">
              <w:rPr>
                <w:rFonts w:ascii="Helvetica" w:hAnsi="Helvetica"/>
                <w:color w:val="333333"/>
                <w:sz w:val="20"/>
              </w:rPr>
              <w:lastRenderedPageBreak/>
              <w:t>порядок проведения расчётов по договору, формы обеспечения исполнения обязательств по договору. Бухгалтерский и налоговый учёт договоров поставки, аренды, возмездного оказания услуг, займа. Налоговые последствия различных форм прекращения обязательств по договору: зачёта взаимных требований, уступки права требования долга, расчётов через третьих лиц. Документальное оформление операций по хозяйственному договору. </w:t>
            </w:r>
          </w:p>
          <w:p w:rsidR="003A4FCD" w:rsidRPr="00073FB9" w:rsidRDefault="003A4FCD" w:rsidP="00D2265F">
            <w:pPr>
              <w:shd w:val="clear" w:color="auto" w:fill="FFFFFF"/>
              <w:rPr>
                <w:rFonts w:ascii="Helvetica" w:hAnsi="Helvetica"/>
                <w:color w:val="333333"/>
                <w:sz w:val="20"/>
              </w:rPr>
            </w:pPr>
          </w:p>
        </w:tc>
      </w:tr>
      <w:tr w:rsidR="003A4FCD" w:rsidRPr="00073FB9" w:rsidTr="00D2265F">
        <w:tc>
          <w:tcPr>
            <w:tcW w:w="2660" w:type="dxa"/>
            <w:gridSpan w:val="2"/>
            <w:vAlign w:val="center"/>
          </w:tcPr>
          <w:p w:rsidR="003A4FCD" w:rsidRPr="00073FB9" w:rsidRDefault="003A4FCD" w:rsidP="00D2265F">
            <w:pPr>
              <w:rPr>
                <w:rFonts w:ascii="Times New Roman" w:hAnsi="Times New Roman"/>
                <w:noProof/>
                <w:sz w:val="24"/>
                <w:szCs w:val="24"/>
              </w:rPr>
            </w:pPr>
            <w:r w:rsidRPr="00073FB9">
              <w:rPr>
                <w:rFonts w:ascii="Times New Roman" w:hAnsi="Times New Roman"/>
                <w:noProof/>
                <w:sz w:val="24"/>
                <w:szCs w:val="24"/>
              </w:rPr>
              <w:lastRenderedPageBreak/>
              <w:t>Практическое занятие</w:t>
            </w:r>
          </w:p>
          <w:p w:rsidR="003A4FCD" w:rsidRPr="00073FB9" w:rsidRDefault="003A4FCD" w:rsidP="00D2265F">
            <w:pPr>
              <w:rPr>
                <w:rFonts w:ascii="Times New Roman" w:hAnsi="Times New Roman"/>
                <w:noProof/>
                <w:sz w:val="24"/>
                <w:szCs w:val="24"/>
              </w:rPr>
            </w:pPr>
          </w:p>
        </w:tc>
        <w:tc>
          <w:tcPr>
            <w:tcW w:w="7087" w:type="dxa"/>
            <w:vAlign w:val="center"/>
          </w:tcPr>
          <w:p w:rsidR="003A4FCD" w:rsidRPr="00073FB9" w:rsidRDefault="003A4FCD" w:rsidP="00D2265F">
            <w:pPr>
              <w:rPr>
                <w:rFonts w:ascii="Times New Roman" w:hAnsi="Times New Roman"/>
                <w:i/>
                <w:noProof/>
                <w:sz w:val="24"/>
                <w:szCs w:val="24"/>
              </w:rPr>
            </w:pPr>
            <w:proofErr w:type="gramStart"/>
            <w:r w:rsidRPr="00242CE1">
              <w:rPr>
                <w:rFonts w:ascii="Helvetica" w:hAnsi="Helvetica"/>
                <w:color w:val="333333"/>
                <w:sz w:val="20"/>
              </w:rPr>
              <w:t>Семинар</w:t>
            </w:r>
            <w:r w:rsidRPr="00073FB9">
              <w:rPr>
                <w:rFonts w:ascii="Helvetica" w:hAnsi="Helvetica"/>
                <w:color w:val="333333"/>
                <w:sz w:val="20"/>
              </w:rPr>
              <w:t xml:space="preserve">  на</w:t>
            </w:r>
            <w:proofErr w:type="gramEnd"/>
            <w:r w:rsidRPr="00073FB9">
              <w:rPr>
                <w:rFonts w:ascii="Helvetica" w:hAnsi="Helvetica"/>
                <w:color w:val="333333"/>
                <w:sz w:val="20"/>
              </w:rPr>
              <w:t xml:space="preserve"> тему «Особенности бухгалтерского, налогового учёта, договорной политики по различным видам деятельности»</w:t>
            </w:r>
          </w:p>
        </w:tc>
      </w:tr>
      <w:tr w:rsidR="003A4FCD" w:rsidRPr="00073FB9" w:rsidTr="00D2265F">
        <w:tc>
          <w:tcPr>
            <w:tcW w:w="2660" w:type="dxa"/>
            <w:gridSpan w:val="2"/>
            <w:vAlign w:val="center"/>
          </w:tcPr>
          <w:p w:rsidR="003A4FCD" w:rsidRPr="00073FB9" w:rsidRDefault="003A4FCD" w:rsidP="00D2265F">
            <w:pPr>
              <w:rPr>
                <w:rFonts w:ascii="Times New Roman" w:hAnsi="Times New Roman"/>
                <w:noProof/>
                <w:sz w:val="24"/>
                <w:szCs w:val="24"/>
              </w:rPr>
            </w:pPr>
            <w:r w:rsidRPr="00073FB9">
              <w:rPr>
                <w:rFonts w:ascii="Times New Roman" w:hAnsi="Times New Roman"/>
                <w:noProof/>
                <w:sz w:val="24"/>
                <w:szCs w:val="24"/>
              </w:rPr>
              <w:t>Самостоятельная работа слушателя</w:t>
            </w:r>
          </w:p>
        </w:tc>
        <w:tc>
          <w:tcPr>
            <w:tcW w:w="7087" w:type="dxa"/>
            <w:vAlign w:val="center"/>
          </w:tcPr>
          <w:p w:rsidR="003A4FCD" w:rsidRPr="00073FB9" w:rsidRDefault="003A4FCD" w:rsidP="00D2265F">
            <w:pPr>
              <w:rPr>
                <w:rFonts w:ascii="Times New Roman" w:hAnsi="Times New Roman"/>
                <w:noProof/>
                <w:sz w:val="24"/>
                <w:szCs w:val="24"/>
              </w:rPr>
            </w:pPr>
            <w:r w:rsidRPr="00073FB9">
              <w:rPr>
                <w:rFonts w:ascii="Times New Roman" w:hAnsi="Times New Roman"/>
                <w:noProof/>
                <w:sz w:val="24"/>
                <w:szCs w:val="24"/>
              </w:rPr>
              <w:t xml:space="preserve">Каждый из слушателей должен подготовить сообщение об обособенностях ведения бухгалтерского и налогового учёта по  виду деятельности  своего предприятия, договорной политике своего предприятия  </w:t>
            </w:r>
          </w:p>
        </w:tc>
      </w:tr>
    </w:tbl>
    <w:p w:rsidR="003A4FCD" w:rsidRPr="00073FB9" w:rsidRDefault="003A4FCD" w:rsidP="003A4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aps/>
          <w:sz w:val="28"/>
          <w:szCs w:val="28"/>
        </w:rPr>
      </w:pPr>
    </w:p>
    <w:p w:rsidR="00794158" w:rsidRPr="0007522E" w:rsidRDefault="00794158" w:rsidP="00C465F8">
      <w:pPr>
        <w:suppressAutoHyphens/>
        <w:rPr>
          <w:rFonts w:ascii="Times New Roman" w:hAnsi="Times New Roman"/>
          <w:iCs/>
          <w:sz w:val="24"/>
          <w:szCs w:val="24"/>
        </w:rPr>
      </w:pPr>
    </w:p>
    <w:sectPr w:rsidR="00794158" w:rsidRPr="0007522E" w:rsidSect="001A082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A55C7"/>
    <w:rsid w:val="000C4721"/>
    <w:rsid w:val="001A082F"/>
    <w:rsid w:val="003A4FCD"/>
    <w:rsid w:val="00551C1D"/>
    <w:rsid w:val="00773851"/>
    <w:rsid w:val="00794158"/>
    <w:rsid w:val="008A55C7"/>
    <w:rsid w:val="00C4194D"/>
    <w:rsid w:val="00C465F8"/>
    <w:rsid w:val="00FC7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D4639-8694-4A32-9599-10B61767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2F"/>
    <w:pPr>
      <w:overflowPunct w:val="0"/>
      <w:autoSpaceDE w:val="0"/>
      <w:autoSpaceDN w:val="0"/>
      <w:adjustRightInd w:val="0"/>
      <w:spacing w:after="0" w:line="240" w:lineRule="auto"/>
      <w:jc w:val="both"/>
      <w:textAlignment w:val="baseline"/>
    </w:pPr>
    <w:rPr>
      <w:rFonts w:ascii="Courier New" w:eastAsia="Times New Roman" w:hAnsi="Courier New"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158"/>
    <w:pPr>
      <w:overflowPunct/>
      <w:autoSpaceDE/>
      <w:autoSpaceDN/>
      <w:adjustRightInd/>
      <w:spacing w:after="200" w:line="276" w:lineRule="auto"/>
      <w:ind w:left="720"/>
      <w:contextualSpacing/>
      <w:jc w:val="left"/>
      <w:textAlignment w:val="auto"/>
    </w:pPr>
    <w:rPr>
      <w:rFonts w:ascii="Calibri" w:hAnsi="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Дугина Юлия Игоревна</dc:creator>
  <cp:keywords/>
  <dc:description/>
  <cp:lastModifiedBy>Дугина Юлия Игоревна</cp:lastModifiedBy>
  <cp:revision>8</cp:revision>
  <dcterms:created xsi:type="dcterms:W3CDTF">2021-02-19T12:18:00Z</dcterms:created>
  <dcterms:modified xsi:type="dcterms:W3CDTF">2021-03-04T10:00:00Z</dcterms:modified>
</cp:coreProperties>
</file>