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E7638B">
        <w:rPr>
          <w:rFonts w:ascii="Times New Roman" w:hAnsi="Times New Roman"/>
          <w:b/>
          <w:sz w:val="28"/>
          <w:szCs w:val="28"/>
        </w:rPr>
        <w:t>СПЕЦИАЛИСТ В СФЕРЕ ЗАКУПОК</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1417"/>
        <w:gridCol w:w="1276"/>
        <w:gridCol w:w="850"/>
        <w:gridCol w:w="1134"/>
        <w:gridCol w:w="993"/>
        <w:gridCol w:w="1230"/>
      </w:tblGrid>
      <w:tr w:rsidR="00E7638B" w:rsidRPr="00E7638B" w:rsidTr="00B5349A">
        <w:tc>
          <w:tcPr>
            <w:tcW w:w="3085" w:type="dxa"/>
            <w:vMerge w:val="restart"/>
            <w:vAlign w:val="center"/>
          </w:tcPr>
          <w:p w:rsidR="00E7638B" w:rsidRPr="00E7638B" w:rsidRDefault="00E7638B" w:rsidP="00E7638B">
            <w:pPr>
              <w:overflowPunct/>
              <w:jc w:val="center"/>
              <w:textAlignment w:val="auto"/>
              <w:rPr>
                <w:rFonts w:ascii="Times New Roman" w:eastAsia="Calibri" w:hAnsi="Times New Roman"/>
                <w:b/>
                <w:bCs/>
                <w:iCs/>
                <w:sz w:val="24"/>
                <w:szCs w:val="24"/>
                <w:lang w:eastAsia="en-US"/>
              </w:rPr>
            </w:pPr>
            <w:r w:rsidRPr="00E7638B">
              <w:rPr>
                <w:rFonts w:ascii="Times New Roman" w:eastAsia="Calibri" w:hAnsi="Times New Roman"/>
                <w:bCs/>
                <w:iCs/>
                <w:sz w:val="20"/>
                <w:lang w:eastAsia="en-US"/>
              </w:rPr>
              <w:t>Наименование дисциплины</w:t>
            </w:r>
          </w:p>
        </w:tc>
        <w:tc>
          <w:tcPr>
            <w:tcW w:w="851" w:type="dxa"/>
            <w:vMerge w:val="restart"/>
            <w:textDirection w:val="btLr"/>
          </w:tcPr>
          <w:p w:rsidR="00E7638B" w:rsidRPr="00E7638B" w:rsidRDefault="00E7638B" w:rsidP="00E7638B">
            <w:pPr>
              <w:overflowPunct/>
              <w:ind w:left="113" w:right="113"/>
              <w:jc w:val="left"/>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Общая трудоемкость, час.</w:t>
            </w:r>
          </w:p>
        </w:tc>
        <w:tc>
          <w:tcPr>
            <w:tcW w:w="2693" w:type="dxa"/>
            <w:gridSpan w:val="2"/>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По учебному плану с использование дистанционных образовательных технологий,  час</w:t>
            </w:r>
          </w:p>
        </w:tc>
        <w:tc>
          <w:tcPr>
            <w:tcW w:w="1984" w:type="dxa"/>
            <w:gridSpan w:val="2"/>
            <w:vAlign w:val="center"/>
          </w:tcPr>
          <w:p w:rsidR="00E7638B" w:rsidRPr="00E7638B" w:rsidRDefault="00E7638B" w:rsidP="00E7638B">
            <w:pPr>
              <w:overflowPunct/>
              <w:jc w:val="center"/>
              <w:textAlignment w:val="auto"/>
              <w:rPr>
                <w:rFonts w:ascii="Times New Roman" w:eastAsia="Calibri" w:hAnsi="Times New Roman"/>
                <w:b/>
                <w:bCs/>
                <w:iCs/>
                <w:sz w:val="24"/>
                <w:szCs w:val="24"/>
                <w:lang w:eastAsia="en-US"/>
              </w:rPr>
            </w:pPr>
            <w:r w:rsidRPr="00E7638B">
              <w:rPr>
                <w:rFonts w:ascii="Times New Roman" w:eastAsia="Calibri" w:hAnsi="Times New Roman"/>
                <w:bCs/>
                <w:iCs/>
                <w:sz w:val="20"/>
                <w:lang w:eastAsia="en-US"/>
              </w:rPr>
              <w:t>Текущий контроль</w:t>
            </w:r>
          </w:p>
        </w:tc>
        <w:tc>
          <w:tcPr>
            <w:tcW w:w="2223" w:type="dxa"/>
            <w:gridSpan w:val="2"/>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Промежуточная аттестация</w:t>
            </w:r>
          </w:p>
        </w:tc>
      </w:tr>
      <w:tr w:rsidR="00E7638B" w:rsidRPr="00E7638B" w:rsidTr="00B5349A">
        <w:trPr>
          <w:trHeight w:val="1358"/>
        </w:trPr>
        <w:tc>
          <w:tcPr>
            <w:tcW w:w="3085" w:type="dxa"/>
            <w:vMerge/>
          </w:tcPr>
          <w:p w:rsidR="00E7638B" w:rsidRPr="00E7638B" w:rsidRDefault="00E7638B" w:rsidP="00E7638B">
            <w:pPr>
              <w:overflowPunct/>
              <w:jc w:val="left"/>
              <w:textAlignment w:val="auto"/>
              <w:rPr>
                <w:rFonts w:ascii="Times New Roman" w:eastAsia="Calibri" w:hAnsi="Times New Roman"/>
                <w:b/>
                <w:bCs/>
                <w:iCs/>
                <w:sz w:val="20"/>
                <w:lang w:eastAsia="en-US"/>
              </w:rPr>
            </w:pPr>
          </w:p>
        </w:tc>
        <w:tc>
          <w:tcPr>
            <w:tcW w:w="851" w:type="dxa"/>
            <w:vMerge/>
          </w:tcPr>
          <w:p w:rsidR="00E7638B" w:rsidRPr="00E7638B" w:rsidRDefault="00E7638B" w:rsidP="00E7638B">
            <w:pPr>
              <w:overflowPunct/>
              <w:jc w:val="left"/>
              <w:textAlignment w:val="auto"/>
              <w:rPr>
                <w:rFonts w:ascii="Times New Roman" w:eastAsia="Calibri" w:hAnsi="Times New Roman"/>
                <w:b/>
                <w:bCs/>
                <w:iCs/>
                <w:sz w:val="20"/>
                <w:lang w:eastAsia="en-US"/>
              </w:rPr>
            </w:pPr>
          </w:p>
        </w:tc>
        <w:tc>
          <w:tcPr>
            <w:tcW w:w="1417" w:type="dxa"/>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Аудиторные</w:t>
            </w:r>
          </w:p>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занятия, час.</w:t>
            </w:r>
          </w:p>
          <w:p w:rsidR="00E7638B" w:rsidRPr="00E7638B" w:rsidRDefault="00E7638B" w:rsidP="00E7638B">
            <w:pPr>
              <w:overflowPunct/>
              <w:spacing w:after="200" w:line="276" w:lineRule="auto"/>
              <w:jc w:val="center"/>
              <w:textAlignment w:val="auto"/>
              <w:rPr>
                <w:rFonts w:ascii="Times New Roman" w:eastAsia="Calibri" w:hAnsi="Times New Roman"/>
                <w:bCs/>
                <w:iCs/>
                <w:sz w:val="20"/>
                <w:lang w:eastAsia="en-US"/>
              </w:rPr>
            </w:pPr>
          </w:p>
        </w:tc>
        <w:tc>
          <w:tcPr>
            <w:tcW w:w="1276" w:type="dxa"/>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val="en-US" w:eastAsia="en-US"/>
              </w:rPr>
              <w:t>C</w:t>
            </w:r>
            <w:r w:rsidRPr="00E7638B">
              <w:rPr>
                <w:rFonts w:ascii="Times New Roman" w:eastAsia="Calibri" w:hAnsi="Times New Roman"/>
                <w:bCs/>
                <w:iCs/>
                <w:sz w:val="20"/>
                <w:lang w:eastAsia="en-US"/>
              </w:rPr>
              <w:t>Р с элементами дистанционного</w:t>
            </w:r>
          </w:p>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обучения, час</w:t>
            </w:r>
          </w:p>
          <w:p w:rsidR="00E7638B" w:rsidRPr="00E7638B" w:rsidRDefault="00E7638B" w:rsidP="00E7638B">
            <w:pPr>
              <w:overflowPunct/>
              <w:spacing w:after="200" w:line="276" w:lineRule="auto"/>
              <w:jc w:val="center"/>
              <w:textAlignment w:val="auto"/>
              <w:rPr>
                <w:rFonts w:ascii="Times New Roman" w:eastAsia="Calibri" w:hAnsi="Times New Roman"/>
                <w:bCs/>
                <w:iCs/>
                <w:sz w:val="20"/>
                <w:lang w:eastAsia="en-US"/>
              </w:rPr>
            </w:pPr>
          </w:p>
        </w:tc>
        <w:tc>
          <w:tcPr>
            <w:tcW w:w="850" w:type="dxa"/>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Реф.</w:t>
            </w:r>
          </w:p>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тест</w:t>
            </w:r>
          </w:p>
        </w:tc>
        <w:tc>
          <w:tcPr>
            <w:tcW w:w="993" w:type="dxa"/>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зачет</w:t>
            </w:r>
          </w:p>
        </w:tc>
        <w:tc>
          <w:tcPr>
            <w:tcW w:w="1230" w:type="dxa"/>
            <w:vAlign w:val="center"/>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Экза</w:t>
            </w:r>
          </w:p>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мен</w:t>
            </w:r>
          </w:p>
        </w:tc>
      </w:tr>
      <w:tr w:rsidR="00E7638B" w:rsidRPr="00E7638B" w:rsidTr="00B5349A">
        <w:tc>
          <w:tcPr>
            <w:tcW w:w="3085"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3</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6</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9</w:t>
            </w: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10</w:t>
            </w: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11</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12</w:t>
            </w: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1.Нормативная правовая база контрактной системы</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16</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12</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2.Антимонопольное регулирование сферы закупок</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8</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 xml:space="preserve">3.Планирование и обоснование закупок </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32</w:t>
            </w:r>
          </w:p>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28</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4. Описание объекта – техническое задание</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32</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28</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5.</w:t>
            </w:r>
            <w:r w:rsidRPr="00E7638B">
              <w:rPr>
                <w:rFonts w:ascii="Helvetica" w:eastAsia="Calibri" w:hAnsi="Helvetica"/>
                <w:color w:val="333333"/>
                <w:sz w:val="21"/>
                <w:szCs w:val="21"/>
                <w:shd w:val="clear" w:color="auto" w:fill="FFFFFF"/>
                <w:lang w:eastAsia="en-US"/>
              </w:rPr>
              <w:t xml:space="preserve"> </w:t>
            </w:r>
            <w:r w:rsidRPr="00E7638B">
              <w:rPr>
                <w:rFonts w:ascii="Calibri" w:eastAsia="Calibri" w:hAnsi="Calibri"/>
                <w:sz w:val="20"/>
                <w:lang w:eastAsia="en-US"/>
              </w:rPr>
              <w:t>Основные процедуры выбора поставщика</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64</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8</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56</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6. Заключение контракта</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8</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7.Основы бухгалтерского учета в части применения к закупкам</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12</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8</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8.Государственный контракт</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32</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28</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9.Контроль, обжалование, ответственность</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24</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20</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10.Этика делового общения и ведение деловых переговоров</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8</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8</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w:t>
            </w: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Итоговая аттестация (защита аттестационной работы)</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24</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Защита аттестационной работы</w:t>
            </w: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Итого</w:t>
            </w:r>
          </w:p>
        </w:tc>
        <w:tc>
          <w:tcPr>
            <w:tcW w:w="851"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260</w:t>
            </w:r>
          </w:p>
        </w:tc>
        <w:tc>
          <w:tcPr>
            <w:tcW w:w="1417"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40</w:t>
            </w:r>
          </w:p>
        </w:tc>
        <w:tc>
          <w:tcPr>
            <w:tcW w:w="1276" w:type="dxa"/>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220</w:t>
            </w:r>
          </w:p>
        </w:tc>
        <w:tc>
          <w:tcPr>
            <w:tcW w:w="85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134"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993"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c>
          <w:tcPr>
            <w:tcW w:w="1230" w:type="dxa"/>
          </w:tcPr>
          <w:p w:rsidR="00E7638B" w:rsidRPr="00E7638B" w:rsidRDefault="00E7638B" w:rsidP="00E7638B">
            <w:pPr>
              <w:overflowPunct/>
              <w:jc w:val="center"/>
              <w:textAlignment w:val="auto"/>
              <w:rPr>
                <w:rFonts w:ascii="Times New Roman" w:eastAsia="Calibri" w:hAnsi="Times New Roman"/>
                <w:bCs/>
                <w:iCs/>
                <w:sz w:val="20"/>
                <w:lang w:eastAsia="en-US"/>
              </w:rPr>
            </w:pPr>
          </w:p>
        </w:tc>
      </w:tr>
      <w:tr w:rsidR="00E7638B" w:rsidRPr="00E7638B" w:rsidTr="00B5349A">
        <w:tc>
          <w:tcPr>
            <w:tcW w:w="3085" w:type="dxa"/>
          </w:tcPr>
          <w:p w:rsidR="00E7638B" w:rsidRPr="00E7638B" w:rsidRDefault="00E7638B" w:rsidP="00E7638B">
            <w:pPr>
              <w:overflowPunct/>
              <w:autoSpaceDE/>
              <w:autoSpaceDN/>
              <w:adjustRightInd/>
              <w:spacing w:after="200" w:line="276" w:lineRule="auto"/>
              <w:jc w:val="left"/>
              <w:textAlignment w:val="auto"/>
              <w:rPr>
                <w:rFonts w:ascii="Calibri" w:eastAsia="Calibri" w:hAnsi="Calibri"/>
                <w:sz w:val="20"/>
                <w:lang w:eastAsia="en-US"/>
              </w:rPr>
            </w:pPr>
            <w:r w:rsidRPr="00E7638B">
              <w:rPr>
                <w:rFonts w:ascii="Calibri" w:eastAsia="Calibri" w:hAnsi="Calibri"/>
                <w:sz w:val="20"/>
                <w:lang w:eastAsia="en-US"/>
              </w:rPr>
              <w:t>Итоговая аттестация</w:t>
            </w:r>
          </w:p>
        </w:tc>
        <w:tc>
          <w:tcPr>
            <w:tcW w:w="7751" w:type="dxa"/>
            <w:gridSpan w:val="7"/>
          </w:tcPr>
          <w:p w:rsidR="00E7638B" w:rsidRPr="00E7638B" w:rsidRDefault="00E7638B" w:rsidP="00E7638B">
            <w:pPr>
              <w:overflowPunct/>
              <w:jc w:val="center"/>
              <w:textAlignment w:val="auto"/>
              <w:rPr>
                <w:rFonts w:ascii="Times New Roman" w:eastAsia="Calibri" w:hAnsi="Times New Roman"/>
                <w:bCs/>
                <w:iCs/>
                <w:sz w:val="20"/>
                <w:lang w:eastAsia="en-US"/>
              </w:rPr>
            </w:pPr>
            <w:r w:rsidRPr="00E7638B">
              <w:rPr>
                <w:rFonts w:ascii="Times New Roman" w:eastAsia="Calibri" w:hAnsi="Times New Roman"/>
                <w:bCs/>
                <w:iCs/>
                <w:sz w:val="20"/>
                <w:lang w:eastAsia="en-US"/>
              </w:rPr>
              <w:t>Аттестационная работа</w:t>
            </w:r>
          </w:p>
        </w:tc>
      </w:tr>
    </w:tbl>
    <w:p w:rsidR="00E7638B" w:rsidRPr="00E7638B" w:rsidRDefault="00E7638B" w:rsidP="00E7638B">
      <w:pPr>
        <w:overflowPunct/>
        <w:jc w:val="center"/>
        <w:textAlignment w:val="auto"/>
        <w:rPr>
          <w:rFonts w:ascii="Times New Roman" w:eastAsia="Calibri" w:hAnsi="Times New Roman"/>
          <w:b/>
          <w:bCs/>
          <w:iCs/>
          <w:sz w:val="24"/>
          <w:szCs w:val="24"/>
          <w:lang w:eastAsia="en-US"/>
        </w:rPr>
      </w:pPr>
    </w:p>
    <w:p w:rsidR="00801144" w:rsidRPr="00C131C5" w:rsidRDefault="00801144" w:rsidP="00757641">
      <w:pPr>
        <w:suppressAutoHyphens/>
        <w:jc w:val="center"/>
        <w:rPr>
          <w:rFonts w:ascii="Times New Roman" w:hAnsi="Times New Roman"/>
          <w:b/>
          <w:sz w:val="28"/>
          <w:szCs w:val="28"/>
        </w:rPr>
      </w:pPr>
      <w:bookmarkStart w:id="0" w:name="_GoBack"/>
      <w:bookmarkEnd w:id="0"/>
    </w:p>
    <w:sectPr w:rsidR="00801144" w:rsidRPr="00C131C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801144"/>
    <w:rsid w:val="00A66CD8"/>
    <w:rsid w:val="00A72145"/>
    <w:rsid w:val="00C131C5"/>
    <w:rsid w:val="00E7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10</cp:revision>
  <cp:lastPrinted>2021-03-04T09:00:00Z</cp:lastPrinted>
  <dcterms:created xsi:type="dcterms:W3CDTF">2021-02-19T12:15:00Z</dcterms:created>
  <dcterms:modified xsi:type="dcterms:W3CDTF">2021-05-12T09:39:00Z</dcterms:modified>
</cp:coreProperties>
</file>