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7302E2"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4F65FB">
        <w:rPr>
          <w:rFonts w:ascii="Times New Roman" w:hAnsi="Times New Roman"/>
          <w:b/>
          <w:bCs/>
          <w:sz w:val="28"/>
          <w:szCs w:val="28"/>
        </w:rPr>
        <w:t>«</w:t>
      </w:r>
      <w:bookmarkStart w:id="0" w:name="_GoBack"/>
      <w:r w:rsidR="008E4AB4" w:rsidRPr="008E4AB4">
        <w:rPr>
          <w:rFonts w:ascii="Times New Roman" w:hAnsi="Times New Roman"/>
          <w:b/>
          <w:sz w:val="28"/>
          <w:szCs w:val="28"/>
        </w:rPr>
        <w:t>Эффективное делопроизводство: современные технологии                                 делопроизводства и архива организации</w:t>
      </w:r>
      <w:bookmarkEnd w:id="0"/>
      <w:r>
        <w:rPr>
          <w:rFonts w:ascii="Times New Roman" w:hAnsi="Times New Roman"/>
          <w:b/>
          <w:sz w:val="28"/>
          <w:szCs w:val="28"/>
        </w:rPr>
        <w:t>»</w:t>
      </w:r>
    </w:p>
    <w:p w:rsidR="00757641" w:rsidRPr="00DE1863" w:rsidRDefault="00757641" w:rsidP="00DE1863">
      <w:pPr>
        <w:pStyle w:val="2"/>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w:t>
      </w:r>
    </w:p>
    <w:p w:rsidR="00595E23" w:rsidRDefault="00595E23"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3"/>
        <w:gridCol w:w="2021"/>
        <w:gridCol w:w="1122"/>
        <w:gridCol w:w="817"/>
        <w:gridCol w:w="2266"/>
        <w:gridCol w:w="2997"/>
      </w:tblGrid>
      <w:tr w:rsidR="008E4AB4" w:rsidRPr="008E4AB4" w:rsidTr="008E4AB4">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w:t>
            </w:r>
          </w:p>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п.п.</w:t>
            </w:r>
          </w:p>
        </w:tc>
        <w:tc>
          <w:tcPr>
            <w:tcW w:w="1009" w:type="pct"/>
            <w:vMerge w:val="restart"/>
            <w:tcBorders>
              <w:top w:val="single" w:sz="4" w:space="0" w:color="auto"/>
              <w:left w:val="single" w:sz="4" w:space="0" w:color="auto"/>
              <w:bottom w:val="single" w:sz="4" w:space="0" w:color="auto"/>
              <w:right w:val="single" w:sz="4" w:space="0" w:color="auto"/>
            </w:tcBorders>
          </w:tcPr>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Наименование разделов и дисциплин (модулей)</w:t>
            </w:r>
          </w:p>
        </w:tc>
        <w:tc>
          <w:tcPr>
            <w:tcW w:w="560" w:type="pct"/>
            <w:vMerge w:val="restart"/>
            <w:tcBorders>
              <w:top w:val="single" w:sz="4" w:space="0" w:color="auto"/>
              <w:left w:val="single" w:sz="4" w:space="0" w:color="auto"/>
              <w:bottom w:val="single" w:sz="4" w:space="0" w:color="auto"/>
              <w:right w:val="single" w:sz="4" w:space="0" w:color="auto"/>
            </w:tcBorders>
          </w:tcPr>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Всего  часов трудоем-кости</w:t>
            </w:r>
          </w:p>
        </w:tc>
        <w:tc>
          <w:tcPr>
            <w:tcW w:w="408" w:type="pct"/>
            <w:vMerge w:val="restart"/>
            <w:tcBorders>
              <w:top w:val="single" w:sz="4" w:space="0" w:color="auto"/>
              <w:left w:val="single" w:sz="4" w:space="0" w:color="auto"/>
              <w:bottom w:val="single" w:sz="4" w:space="0" w:color="auto"/>
              <w:right w:val="single" w:sz="4" w:space="0" w:color="auto"/>
            </w:tcBorders>
          </w:tcPr>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Всего,</w:t>
            </w:r>
          </w:p>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ауд. часов</w:t>
            </w:r>
          </w:p>
        </w:tc>
        <w:tc>
          <w:tcPr>
            <w:tcW w:w="2627" w:type="pct"/>
            <w:gridSpan w:val="2"/>
            <w:tcBorders>
              <w:top w:val="single" w:sz="4" w:space="0" w:color="auto"/>
              <w:left w:val="single" w:sz="4" w:space="0" w:color="auto"/>
              <w:bottom w:val="single" w:sz="4" w:space="0" w:color="auto"/>
              <w:right w:val="single" w:sz="4" w:space="0" w:color="auto"/>
            </w:tcBorders>
          </w:tcPr>
          <w:p w:rsidR="008E4AB4" w:rsidRPr="008E4AB4" w:rsidRDefault="008E4AB4" w:rsidP="008E4AB4">
            <w:pPr>
              <w:ind w:left="57" w:right="57"/>
              <w:jc w:val="center"/>
              <w:rPr>
                <w:rFonts w:ascii="Times New Roman" w:hAnsi="Times New Roman"/>
                <w:b/>
                <w:bCs/>
                <w:color w:val="000000"/>
                <w:sz w:val="20"/>
              </w:rPr>
            </w:pPr>
            <w:r w:rsidRPr="008E4AB4">
              <w:rPr>
                <w:rFonts w:ascii="Times New Roman" w:hAnsi="Times New Roman"/>
                <w:b/>
                <w:bCs/>
                <w:color w:val="000000"/>
                <w:sz w:val="20"/>
              </w:rPr>
              <w:t>в том числе</w:t>
            </w:r>
          </w:p>
        </w:tc>
      </w:tr>
      <w:tr w:rsidR="008E4AB4" w:rsidRPr="008E4AB4" w:rsidTr="008E4AB4">
        <w:trPr>
          <w:trHeight w:val="265"/>
        </w:trPr>
        <w:tc>
          <w:tcPr>
            <w:tcW w:w="396" w:type="pct"/>
            <w:vMerge/>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Lines="20" w:before="48" w:afterLines="20" w:after="48"/>
              <w:ind w:left="57" w:right="57"/>
              <w:jc w:val="center"/>
              <w:rPr>
                <w:rFonts w:ascii="Times New Roman" w:hAnsi="Times New Roman"/>
                <w:b/>
                <w:bCs/>
                <w:color w:val="000000"/>
                <w:sz w:val="28"/>
                <w:szCs w:val="28"/>
              </w:rPr>
            </w:pPr>
          </w:p>
        </w:tc>
        <w:tc>
          <w:tcPr>
            <w:tcW w:w="1009" w:type="pct"/>
            <w:vMerge/>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Lines="20" w:before="48" w:afterLines="20" w:after="48"/>
              <w:ind w:left="57" w:right="57"/>
              <w:rPr>
                <w:rFonts w:ascii="Times New Roman" w:hAnsi="Times New Roman"/>
                <w:b/>
                <w:bCs/>
                <w:color w:val="000000"/>
                <w:sz w:val="28"/>
                <w:szCs w:val="28"/>
              </w:rPr>
            </w:pPr>
          </w:p>
        </w:tc>
        <w:tc>
          <w:tcPr>
            <w:tcW w:w="560" w:type="pct"/>
            <w:vMerge/>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Lines="20" w:before="48" w:afterLines="20" w:after="48"/>
              <w:ind w:left="57" w:right="57"/>
              <w:jc w:val="center"/>
              <w:rPr>
                <w:rFonts w:ascii="Times New Roman" w:hAnsi="Times New Roman"/>
                <w:b/>
                <w:bCs/>
                <w:color w:val="000000"/>
                <w:sz w:val="28"/>
                <w:szCs w:val="28"/>
              </w:rPr>
            </w:pPr>
          </w:p>
        </w:tc>
        <w:tc>
          <w:tcPr>
            <w:tcW w:w="408" w:type="pct"/>
            <w:vMerge/>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Lines="20" w:before="48" w:afterLines="20" w:after="48"/>
              <w:ind w:left="57" w:right="57"/>
              <w:jc w:val="center"/>
              <w:rPr>
                <w:rFonts w:ascii="Times New Roman" w:hAnsi="Times New Roman"/>
                <w:b/>
                <w:bCs/>
                <w:color w:val="000000"/>
                <w:sz w:val="28"/>
                <w:szCs w:val="28"/>
              </w:rPr>
            </w:pPr>
          </w:p>
        </w:tc>
        <w:tc>
          <w:tcPr>
            <w:tcW w:w="1131"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Lines="20" w:before="48" w:afterLines="20" w:after="48"/>
              <w:ind w:left="57" w:right="57"/>
              <w:jc w:val="center"/>
              <w:rPr>
                <w:rFonts w:ascii="Times New Roman" w:hAnsi="Times New Roman"/>
                <w:b/>
                <w:bCs/>
                <w:color w:val="000000"/>
                <w:sz w:val="20"/>
              </w:rPr>
            </w:pPr>
            <w:r w:rsidRPr="008E4AB4">
              <w:rPr>
                <w:rFonts w:ascii="Times New Roman" w:hAnsi="Times New Roman"/>
                <w:b/>
                <w:bCs/>
                <w:color w:val="000000"/>
                <w:sz w:val="20"/>
              </w:rPr>
              <w:t>лекции</w:t>
            </w:r>
          </w:p>
        </w:tc>
        <w:tc>
          <w:tcPr>
            <w:tcW w:w="1496"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Lines="20" w:before="48" w:afterLines="20" w:after="48"/>
              <w:ind w:left="57" w:right="57"/>
              <w:jc w:val="center"/>
              <w:rPr>
                <w:rFonts w:ascii="Times New Roman" w:hAnsi="Times New Roman"/>
                <w:b/>
                <w:bCs/>
                <w:color w:val="000000"/>
                <w:sz w:val="20"/>
              </w:rPr>
            </w:pPr>
            <w:r w:rsidRPr="008E4AB4">
              <w:rPr>
                <w:rFonts w:ascii="Times New Roman" w:hAnsi="Times New Roman"/>
                <w:b/>
                <w:bCs/>
                <w:color w:val="000000"/>
                <w:sz w:val="20"/>
              </w:rPr>
              <w:t>Практические  занятия</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uppressAutoHyphens/>
              <w:jc w:val="center"/>
              <w:rPr>
                <w:rFonts w:ascii="Times New Roman" w:hAnsi="Times New Roman"/>
                <w:bCs/>
                <w:sz w:val="20"/>
                <w:lang w:eastAsia="ar-SA"/>
              </w:rPr>
            </w:pPr>
            <w:r w:rsidRPr="008E4AB4">
              <w:rPr>
                <w:rFonts w:ascii="Times New Roman" w:hAnsi="Times New Roman"/>
                <w:bCs/>
                <w:sz w:val="20"/>
                <w:lang w:eastAsia="ar-SA"/>
              </w:rPr>
              <w:t>1</w:t>
            </w:r>
          </w:p>
        </w:tc>
        <w:tc>
          <w:tcPr>
            <w:tcW w:w="1009"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uppressAutoHyphens/>
              <w:jc w:val="center"/>
              <w:rPr>
                <w:rFonts w:ascii="Times New Roman" w:hAnsi="Times New Roman"/>
                <w:bCs/>
                <w:sz w:val="20"/>
                <w:lang w:eastAsia="ar-SA"/>
              </w:rPr>
            </w:pPr>
            <w:r w:rsidRPr="008E4AB4">
              <w:rPr>
                <w:rFonts w:ascii="Times New Roman" w:hAnsi="Times New Roman"/>
                <w:bCs/>
                <w:sz w:val="20"/>
                <w:lang w:eastAsia="ar-SA"/>
              </w:rPr>
              <w:t>2</w:t>
            </w:r>
          </w:p>
        </w:tc>
        <w:tc>
          <w:tcPr>
            <w:tcW w:w="560"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uppressAutoHyphens/>
              <w:jc w:val="center"/>
              <w:rPr>
                <w:rFonts w:ascii="Times New Roman" w:hAnsi="Times New Roman"/>
                <w:bCs/>
                <w:sz w:val="20"/>
                <w:lang w:eastAsia="ar-SA"/>
              </w:rPr>
            </w:pPr>
            <w:r w:rsidRPr="008E4AB4">
              <w:rPr>
                <w:rFonts w:ascii="Times New Roman" w:hAnsi="Times New Roman"/>
                <w:bCs/>
                <w:sz w:val="20"/>
                <w:lang w:eastAsia="ar-SA"/>
              </w:rPr>
              <w:t>3</w:t>
            </w:r>
          </w:p>
        </w:tc>
        <w:tc>
          <w:tcPr>
            <w:tcW w:w="408"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uppressAutoHyphens/>
              <w:jc w:val="center"/>
              <w:rPr>
                <w:rFonts w:ascii="Times New Roman" w:hAnsi="Times New Roman"/>
                <w:bCs/>
                <w:sz w:val="20"/>
                <w:lang w:eastAsia="ar-SA"/>
              </w:rPr>
            </w:pPr>
            <w:r w:rsidRPr="008E4AB4">
              <w:rPr>
                <w:rFonts w:ascii="Times New Roman" w:hAnsi="Times New Roman"/>
                <w:bCs/>
                <w:sz w:val="20"/>
                <w:lang w:eastAsia="ar-SA"/>
              </w:rPr>
              <w:t>4</w:t>
            </w:r>
          </w:p>
        </w:tc>
        <w:tc>
          <w:tcPr>
            <w:tcW w:w="1131"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uppressAutoHyphens/>
              <w:jc w:val="center"/>
              <w:rPr>
                <w:rFonts w:ascii="Times New Roman" w:hAnsi="Times New Roman"/>
                <w:bCs/>
                <w:sz w:val="20"/>
                <w:lang w:eastAsia="ar-SA"/>
              </w:rPr>
            </w:pPr>
            <w:r w:rsidRPr="008E4AB4">
              <w:rPr>
                <w:rFonts w:ascii="Times New Roman" w:hAnsi="Times New Roman"/>
                <w:bCs/>
                <w:sz w:val="20"/>
                <w:lang w:eastAsia="ar-SA"/>
              </w:rPr>
              <w:t>5</w:t>
            </w:r>
          </w:p>
        </w:tc>
        <w:tc>
          <w:tcPr>
            <w:tcW w:w="1496"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uppressAutoHyphens/>
              <w:jc w:val="center"/>
              <w:rPr>
                <w:rFonts w:ascii="Times New Roman" w:hAnsi="Times New Roman"/>
                <w:bCs/>
                <w:sz w:val="20"/>
                <w:lang w:eastAsia="ar-SA"/>
              </w:rPr>
            </w:pPr>
            <w:r w:rsidRPr="008E4AB4">
              <w:rPr>
                <w:rFonts w:ascii="Times New Roman" w:hAnsi="Times New Roman"/>
                <w:bCs/>
                <w:sz w:val="20"/>
                <w:lang w:eastAsia="ar-SA"/>
              </w:rPr>
              <w:t>6</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1</w:t>
            </w: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sz w:val="20"/>
              </w:rPr>
              <w:t>Компьютерные технологии в деятельности специалистов в сфере управления, руководителей сферы образования, помощников руководителей, ответственных в сфере делопроизводства, кадровых работ-ников, секретарей, менеджеров.</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14</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14</w:t>
            </w:r>
          </w:p>
        </w:tc>
        <w:tc>
          <w:tcPr>
            <w:tcW w:w="1131"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numPr>
                <w:ilvl w:val="0"/>
                <w:numId w:val="1"/>
              </w:numPr>
              <w:spacing w:before="20" w:afterLines="20" w:after="48"/>
              <w:ind w:left="187" w:hanging="283"/>
              <w:rPr>
                <w:rFonts w:ascii="Times New Roman" w:hAnsi="Times New Roman"/>
                <w:bCs/>
                <w:color w:val="000000"/>
                <w:sz w:val="20"/>
              </w:rPr>
            </w:pPr>
            <w:r w:rsidRPr="008E4AB4">
              <w:rPr>
                <w:rFonts w:ascii="Times New Roman" w:hAnsi="Times New Roman"/>
                <w:sz w:val="20"/>
              </w:rPr>
              <w:t>Допечатная подготовка текстового документа. Цифровая подпись.</w:t>
            </w:r>
          </w:p>
          <w:p w:rsidR="008E4AB4" w:rsidRPr="008E4AB4" w:rsidRDefault="008E4AB4" w:rsidP="008E4AB4">
            <w:pPr>
              <w:numPr>
                <w:ilvl w:val="0"/>
                <w:numId w:val="1"/>
              </w:numPr>
              <w:spacing w:before="20" w:afterLines="20" w:after="48"/>
              <w:ind w:left="187" w:hanging="283"/>
              <w:rPr>
                <w:rFonts w:ascii="Times New Roman" w:hAnsi="Times New Roman"/>
                <w:bCs/>
                <w:color w:val="000000"/>
                <w:sz w:val="20"/>
              </w:rPr>
            </w:pPr>
            <w:r w:rsidRPr="008E4AB4">
              <w:rPr>
                <w:rFonts w:ascii="Times New Roman" w:hAnsi="Times New Roman"/>
                <w:sz w:val="20"/>
              </w:rPr>
              <w:t>Статистическая обработка информации.</w:t>
            </w:r>
          </w:p>
          <w:p w:rsidR="008E4AB4" w:rsidRPr="008E4AB4" w:rsidRDefault="008E4AB4" w:rsidP="008E4AB4">
            <w:pPr>
              <w:spacing w:before="20" w:afterLines="20" w:after="48"/>
              <w:ind w:left="187"/>
              <w:rPr>
                <w:rFonts w:ascii="Times New Roman" w:hAnsi="Times New Roman"/>
                <w:sz w:val="20"/>
              </w:rPr>
            </w:pPr>
          </w:p>
          <w:p w:rsidR="008E4AB4" w:rsidRPr="008E4AB4" w:rsidRDefault="008E4AB4" w:rsidP="008E4AB4">
            <w:pPr>
              <w:spacing w:before="20" w:afterLines="20" w:after="48"/>
              <w:ind w:left="187"/>
              <w:jc w:val="center"/>
              <w:rPr>
                <w:rFonts w:ascii="Times New Roman" w:hAnsi="Times New Roman"/>
                <w:sz w:val="20"/>
              </w:rPr>
            </w:pPr>
          </w:p>
          <w:p w:rsidR="008E4AB4" w:rsidRPr="008E4AB4" w:rsidRDefault="008E4AB4" w:rsidP="008E4AB4">
            <w:pPr>
              <w:spacing w:before="20" w:afterLines="20" w:after="48"/>
              <w:ind w:left="187"/>
              <w:jc w:val="center"/>
              <w:rPr>
                <w:rFonts w:ascii="Times New Roman" w:hAnsi="Times New Roman"/>
                <w:sz w:val="20"/>
              </w:rPr>
            </w:pPr>
          </w:p>
          <w:p w:rsidR="008E4AB4" w:rsidRPr="008E4AB4" w:rsidRDefault="008E4AB4" w:rsidP="008E4AB4">
            <w:pPr>
              <w:spacing w:before="20" w:afterLines="20" w:after="48"/>
              <w:ind w:left="187"/>
              <w:jc w:val="center"/>
              <w:rPr>
                <w:rFonts w:ascii="Times New Roman" w:hAnsi="Times New Roman"/>
                <w:bCs/>
                <w:color w:val="000000"/>
                <w:sz w:val="20"/>
              </w:rPr>
            </w:pPr>
            <w:r w:rsidRPr="008E4AB4">
              <w:rPr>
                <w:rFonts w:ascii="Times New Roman" w:hAnsi="Times New Roman"/>
                <w:sz w:val="20"/>
              </w:rPr>
              <w:t>8</w:t>
            </w:r>
          </w:p>
        </w:tc>
        <w:tc>
          <w:tcPr>
            <w:tcW w:w="1496"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numPr>
                <w:ilvl w:val="0"/>
                <w:numId w:val="2"/>
              </w:numPr>
              <w:spacing w:before="20" w:afterLines="20" w:after="48"/>
              <w:ind w:left="172" w:hanging="141"/>
              <w:rPr>
                <w:rFonts w:ascii="Times New Roman" w:hAnsi="Times New Roman"/>
                <w:bCs/>
                <w:color w:val="000000"/>
                <w:sz w:val="20"/>
              </w:rPr>
            </w:pPr>
            <w:r w:rsidRPr="008E4AB4">
              <w:rPr>
                <w:rFonts w:ascii="Times New Roman" w:hAnsi="Times New Roman"/>
                <w:sz w:val="20"/>
              </w:rPr>
              <w:t>Профессиональная верстка и оформление документов любой сложности с помощью программы MS Word.</w:t>
            </w:r>
          </w:p>
          <w:p w:rsidR="008E4AB4" w:rsidRPr="008E4AB4" w:rsidRDefault="008E4AB4" w:rsidP="008E4AB4">
            <w:pPr>
              <w:numPr>
                <w:ilvl w:val="0"/>
                <w:numId w:val="2"/>
              </w:numPr>
              <w:spacing w:before="20" w:afterLines="20" w:after="48"/>
              <w:ind w:left="172" w:hanging="141"/>
              <w:rPr>
                <w:rFonts w:ascii="Times New Roman" w:hAnsi="Times New Roman"/>
                <w:bCs/>
                <w:color w:val="000000"/>
                <w:sz w:val="20"/>
              </w:rPr>
            </w:pPr>
            <w:r w:rsidRPr="008E4AB4">
              <w:rPr>
                <w:rFonts w:ascii="Times New Roman" w:hAnsi="Times New Roman"/>
                <w:sz w:val="20"/>
              </w:rPr>
              <w:t xml:space="preserve">Работа с информацией в </w:t>
            </w:r>
            <w:r w:rsidRPr="008E4AB4">
              <w:rPr>
                <w:rFonts w:ascii="Times New Roman" w:hAnsi="Times New Roman"/>
                <w:sz w:val="20"/>
                <w:lang w:val="en-US"/>
              </w:rPr>
              <w:t>Excel</w:t>
            </w:r>
            <w:r w:rsidRPr="008E4AB4">
              <w:rPr>
                <w:rFonts w:ascii="Times New Roman" w:hAnsi="Times New Roman"/>
                <w:sz w:val="20"/>
              </w:rPr>
              <w:t>. Сортировка, фильтрация информации, построение диаграмм.</w:t>
            </w:r>
          </w:p>
          <w:p w:rsidR="008E4AB4" w:rsidRPr="008E4AB4" w:rsidRDefault="008E4AB4" w:rsidP="008E4AB4">
            <w:pPr>
              <w:spacing w:before="20" w:afterLines="20" w:after="48"/>
              <w:rPr>
                <w:rFonts w:ascii="Times New Roman" w:hAnsi="Times New Roman"/>
                <w:sz w:val="20"/>
              </w:rPr>
            </w:pP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sz w:val="20"/>
              </w:rPr>
              <w:t>6</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w:t>
            </w: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Мультимедиа-технологии</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c>
          <w:tcPr>
            <w:tcW w:w="1131"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numPr>
                <w:ilvl w:val="0"/>
                <w:numId w:val="2"/>
              </w:numPr>
              <w:spacing w:before="20" w:afterLines="20" w:after="48"/>
              <w:rPr>
                <w:rFonts w:ascii="Times New Roman" w:hAnsi="Times New Roman"/>
                <w:sz w:val="20"/>
              </w:rPr>
            </w:pPr>
            <w:r w:rsidRPr="008E4AB4">
              <w:rPr>
                <w:rFonts w:ascii="Times New Roman" w:hAnsi="Times New Roman"/>
                <w:sz w:val="20"/>
              </w:rPr>
              <w:t>Подготовка мультимедиа-презентаций для наглядного представления отчетной и рекламной информации.</w:t>
            </w: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sz w:val="20"/>
              </w:rPr>
              <w:t>2</w:t>
            </w:r>
          </w:p>
        </w:tc>
        <w:tc>
          <w:tcPr>
            <w:tcW w:w="1496"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20" w:afterLines="20" w:after="48"/>
              <w:ind w:left="172"/>
              <w:rPr>
                <w:rFonts w:ascii="Times New Roman" w:hAnsi="Times New Roman"/>
                <w:sz w:val="20"/>
              </w:rPr>
            </w:pPr>
            <w:r w:rsidRPr="008E4AB4">
              <w:rPr>
                <w:rFonts w:ascii="Times New Roman" w:hAnsi="Times New Roman"/>
                <w:sz w:val="20"/>
              </w:rPr>
              <w:t>3.Создание презентации доклада, отчета с помощью MS PowerPoint. Интерактивные презентации. Навигация по слайдам.</w:t>
            </w:r>
          </w:p>
          <w:p w:rsidR="008E4AB4" w:rsidRPr="008E4AB4" w:rsidRDefault="008E4AB4" w:rsidP="008E4AB4">
            <w:pPr>
              <w:spacing w:before="20" w:afterLines="20" w:after="48"/>
              <w:ind w:left="172"/>
              <w:rPr>
                <w:rFonts w:ascii="Times New Roman" w:hAnsi="Times New Roman"/>
                <w:sz w:val="20"/>
              </w:rPr>
            </w:pPr>
          </w:p>
          <w:p w:rsidR="008E4AB4" w:rsidRPr="008E4AB4" w:rsidRDefault="008E4AB4" w:rsidP="008E4AB4">
            <w:pPr>
              <w:spacing w:before="20" w:afterLines="20" w:after="48"/>
              <w:ind w:left="172"/>
              <w:rPr>
                <w:rFonts w:ascii="Times New Roman" w:hAnsi="Times New Roman"/>
                <w:sz w:val="20"/>
              </w:rPr>
            </w:pPr>
          </w:p>
          <w:p w:rsidR="008E4AB4" w:rsidRPr="008E4AB4" w:rsidRDefault="008E4AB4" w:rsidP="008E4AB4">
            <w:pPr>
              <w:spacing w:before="20" w:afterLines="20" w:after="48"/>
              <w:ind w:left="172"/>
              <w:rPr>
                <w:rFonts w:ascii="Times New Roman" w:hAnsi="Times New Roman"/>
                <w:sz w:val="20"/>
              </w:rPr>
            </w:pPr>
          </w:p>
          <w:p w:rsidR="008E4AB4" w:rsidRPr="008E4AB4" w:rsidRDefault="008E4AB4" w:rsidP="008E4AB4">
            <w:pPr>
              <w:spacing w:before="20" w:afterLines="20" w:after="48"/>
              <w:ind w:left="172"/>
              <w:jc w:val="center"/>
              <w:rPr>
                <w:rFonts w:ascii="Times New Roman" w:hAnsi="Times New Roman"/>
                <w:bCs/>
                <w:color w:val="000000"/>
                <w:sz w:val="20"/>
              </w:rPr>
            </w:pPr>
            <w:r w:rsidRPr="008E4AB4">
              <w:rPr>
                <w:rFonts w:ascii="Times New Roman" w:hAnsi="Times New Roman"/>
                <w:sz w:val="20"/>
              </w:rPr>
              <w:t>2</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3</w:t>
            </w: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Современные коммуникационные технологии</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6</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6</w:t>
            </w:r>
          </w:p>
        </w:tc>
        <w:tc>
          <w:tcPr>
            <w:tcW w:w="1131"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4.Организация делового общения через Интернет. Создание и ведение ресурса в Интернет</w:t>
            </w: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jc w:val="center"/>
              <w:rPr>
                <w:rFonts w:ascii="Times New Roman" w:hAnsi="Times New Roman"/>
                <w:bCs/>
                <w:color w:val="000000"/>
                <w:sz w:val="20"/>
              </w:rPr>
            </w:pP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w:t>
            </w:r>
          </w:p>
        </w:tc>
        <w:tc>
          <w:tcPr>
            <w:tcW w:w="14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 xml:space="preserve">4. Дополнительные настройки электронной почты для оптимизации процесса переписки (электронная подпись, сортировка сообщений, автоматическая генерация ответа). Эффективный поиск информации. Создание и ведение собственного ресурса в Интернете. </w:t>
            </w:r>
          </w:p>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5.Создание сайта-визитки и интернет-портфолио.</w:t>
            </w: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Делопроизводство</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10</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10</w:t>
            </w:r>
          </w:p>
        </w:tc>
        <w:tc>
          <w:tcPr>
            <w:tcW w:w="1131"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5.Делопроизводство и организация документооборота.</w:t>
            </w:r>
          </w:p>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6.Основные виды документов. Работа с конфиденциальной информацией</w:t>
            </w: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c>
          <w:tcPr>
            <w:tcW w:w="14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overflowPunct/>
              <w:autoSpaceDE/>
              <w:autoSpaceDN/>
              <w:adjustRightInd/>
              <w:textAlignment w:val="auto"/>
              <w:rPr>
                <w:rFonts w:ascii="Times New Roman" w:hAnsi="Times New Roman"/>
                <w:bCs/>
                <w:color w:val="000000"/>
                <w:sz w:val="20"/>
              </w:rPr>
            </w:pPr>
            <w:r w:rsidRPr="008E4AB4">
              <w:rPr>
                <w:rFonts w:ascii="Times New Roman" w:hAnsi="Times New Roman"/>
                <w:bCs/>
                <w:color w:val="000000"/>
                <w:sz w:val="20"/>
              </w:rPr>
              <w:lastRenderedPageBreak/>
              <w:t>6. Документационное обеспечение предприятия. Понятие о документе. Унификация и стандартизация документов. Бланк, его составные части. Требования к бланкам. Оформление реквизитов документа в соответствии с требованиями ГОСТ Р 7.097-2016.</w:t>
            </w:r>
          </w:p>
          <w:p w:rsidR="008E4AB4" w:rsidRPr="008E4AB4" w:rsidRDefault="008E4AB4" w:rsidP="008E4AB4">
            <w:pPr>
              <w:overflowPunct/>
              <w:autoSpaceDE/>
              <w:autoSpaceDN/>
              <w:adjustRightInd/>
              <w:ind w:left="142"/>
              <w:textAlignment w:val="auto"/>
              <w:rPr>
                <w:rFonts w:ascii="Times New Roman" w:hAnsi="Times New Roman"/>
                <w:bCs/>
                <w:color w:val="000000"/>
                <w:sz w:val="20"/>
              </w:rPr>
            </w:pPr>
            <w:r w:rsidRPr="008E4AB4">
              <w:rPr>
                <w:rFonts w:ascii="Times New Roman" w:hAnsi="Times New Roman"/>
                <w:bCs/>
                <w:color w:val="000000"/>
                <w:sz w:val="20"/>
              </w:rPr>
              <w:t xml:space="preserve">7. Организация </w:t>
            </w:r>
            <w:r w:rsidRPr="008E4AB4">
              <w:rPr>
                <w:rFonts w:ascii="Times New Roman" w:hAnsi="Times New Roman"/>
                <w:bCs/>
                <w:color w:val="000000"/>
                <w:sz w:val="20"/>
              </w:rPr>
              <w:lastRenderedPageBreak/>
              <w:t>документооборота. Основные виды документов.</w:t>
            </w:r>
          </w:p>
          <w:p w:rsidR="008E4AB4" w:rsidRPr="008E4AB4" w:rsidRDefault="008E4AB4" w:rsidP="008E4AB4">
            <w:pPr>
              <w:overflowPunct/>
              <w:autoSpaceDE/>
              <w:autoSpaceDN/>
              <w:adjustRightInd/>
              <w:ind w:left="142"/>
              <w:textAlignment w:val="auto"/>
              <w:rPr>
                <w:rFonts w:ascii="Times New Roman" w:hAnsi="Times New Roman"/>
                <w:bCs/>
                <w:color w:val="000000"/>
                <w:sz w:val="20"/>
              </w:rPr>
            </w:pPr>
          </w:p>
          <w:p w:rsidR="008E4AB4" w:rsidRPr="008E4AB4" w:rsidRDefault="008E4AB4" w:rsidP="008E4AB4">
            <w:pPr>
              <w:overflowPunct/>
              <w:autoSpaceDE/>
              <w:autoSpaceDN/>
              <w:adjustRightInd/>
              <w:ind w:left="142"/>
              <w:jc w:val="center"/>
              <w:textAlignment w:val="auto"/>
              <w:rPr>
                <w:rFonts w:ascii="Times New Roman" w:hAnsi="Times New Roman"/>
                <w:bCs/>
                <w:color w:val="000000"/>
                <w:sz w:val="20"/>
              </w:rPr>
            </w:pPr>
            <w:r w:rsidRPr="008E4AB4">
              <w:rPr>
                <w:rFonts w:ascii="Times New Roman" w:hAnsi="Times New Roman"/>
                <w:bCs/>
                <w:color w:val="000000"/>
                <w:sz w:val="20"/>
              </w:rPr>
              <w:t>6</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lastRenderedPageBreak/>
              <w:t>5</w:t>
            </w: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Обязанности и нормы поведения секретаря-референта</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w:t>
            </w:r>
          </w:p>
        </w:tc>
        <w:tc>
          <w:tcPr>
            <w:tcW w:w="1131" w:type="pct"/>
            <w:tcBorders>
              <w:top w:val="single" w:sz="4" w:space="0" w:color="auto"/>
              <w:left w:val="single" w:sz="4" w:space="0" w:color="auto"/>
              <w:bottom w:val="single" w:sz="4" w:space="0" w:color="auto"/>
              <w:right w:val="single" w:sz="4" w:space="0" w:color="auto"/>
            </w:tcBorders>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7.Организация работы секретаря. Этика и психология делового общения.</w:t>
            </w: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w:t>
            </w:r>
          </w:p>
        </w:tc>
        <w:tc>
          <w:tcPr>
            <w:tcW w:w="14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8. Планирование работы секретаря. Имидж секретаря. Общение как сфера деятельности секретаря-референта. Взаимодействие с руководителем в управленческом процессе. Стратегия и тактика поведения в конфликтных ситуациях. Служебный этикет.</w:t>
            </w:r>
          </w:p>
          <w:p w:rsidR="008E4AB4" w:rsidRPr="008E4AB4" w:rsidRDefault="008E4AB4" w:rsidP="008E4AB4">
            <w:pPr>
              <w:spacing w:before="20" w:afterLines="20" w:after="48"/>
              <w:rPr>
                <w:rFonts w:ascii="Times New Roman" w:hAnsi="Times New Roman"/>
                <w:bCs/>
                <w:color w:val="000000"/>
                <w:sz w:val="20"/>
              </w:rPr>
            </w:pP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sz w:val="20"/>
              </w:rPr>
            </w:pPr>
            <w:r w:rsidRPr="008E4AB4">
              <w:rPr>
                <w:rFonts w:ascii="Times New Roman" w:hAnsi="Times New Roman"/>
                <w:sz w:val="20"/>
              </w:rPr>
              <w:t> </w:t>
            </w: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Итоговая аттестация</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p>
        </w:tc>
        <w:tc>
          <w:tcPr>
            <w:tcW w:w="1131"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p>
        </w:tc>
        <w:tc>
          <w:tcPr>
            <w:tcW w:w="14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w:t>
            </w:r>
          </w:p>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Зачет (тестирование)</w:t>
            </w:r>
          </w:p>
        </w:tc>
      </w:tr>
      <w:tr w:rsidR="008E4AB4" w:rsidRPr="008E4AB4" w:rsidTr="008E4AB4">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sz w:val="20"/>
              </w:rPr>
            </w:pPr>
          </w:p>
        </w:tc>
        <w:tc>
          <w:tcPr>
            <w:tcW w:w="1009"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rPr>
                <w:rFonts w:ascii="Times New Roman" w:hAnsi="Times New Roman"/>
                <w:bCs/>
                <w:color w:val="000000"/>
                <w:sz w:val="20"/>
              </w:rPr>
            </w:pPr>
            <w:r w:rsidRPr="008E4AB4">
              <w:rPr>
                <w:rFonts w:ascii="Times New Roman" w:hAnsi="Times New Roman"/>
                <w:bCs/>
                <w:color w:val="000000"/>
                <w:sz w:val="20"/>
              </w:rPr>
              <w:t>ИТОГО</w:t>
            </w:r>
          </w:p>
        </w:tc>
        <w:tc>
          <w:tcPr>
            <w:tcW w:w="560"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40</w:t>
            </w:r>
          </w:p>
        </w:tc>
        <w:tc>
          <w:tcPr>
            <w:tcW w:w="408"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40</w:t>
            </w:r>
          </w:p>
        </w:tc>
        <w:tc>
          <w:tcPr>
            <w:tcW w:w="1131"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18</w:t>
            </w:r>
          </w:p>
        </w:tc>
        <w:tc>
          <w:tcPr>
            <w:tcW w:w="1496" w:type="pct"/>
            <w:tcBorders>
              <w:top w:val="single" w:sz="4" w:space="0" w:color="auto"/>
              <w:left w:val="single" w:sz="4" w:space="0" w:color="auto"/>
              <w:bottom w:val="single" w:sz="4" w:space="0" w:color="auto"/>
              <w:right w:val="single" w:sz="4" w:space="0" w:color="auto"/>
            </w:tcBorders>
            <w:vAlign w:val="center"/>
          </w:tcPr>
          <w:p w:rsidR="008E4AB4" w:rsidRPr="008E4AB4" w:rsidRDefault="008E4AB4" w:rsidP="008E4AB4">
            <w:pPr>
              <w:spacing w:before="20" w:afterLines="20" w:after="48"/>
              <w:jc w:val="center"/>
              <w:rPr>
                <w:rFonts w:ascii="Times New Roman" w:hAnsi="Times New Roman"/>
                <w:bCs/>
                <w:color w:val="000000"/>
                <w:sz w:val="20"/>
              </w:rPr>
            </w:pPr>
            <w:r w:rsidRPr="008E4AB4">
              <w:rPr>
                <w:rFonts w:ascii="Times New Roman" w:hAnsi="Times New Roman"/>
                <w:bCs/>
                <w:color w:val="000000"/>
                <w:sz w:val="20"/>
              </w:rPr>
              <w:t>22</w:t>
            </w:r>
          </w:p>
        </w:tc>
      </w:tr>
    </w:tbl>
    <w:p w:rsidR="008E4AB4" w:rsidRPr="008E4AB4" w:rsidRDefault="008E4AB4" w:rsidP="008E4AB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595E23" w:rsidRDefault="00595E23" w:rsidP="0048601E">
      <w:pPr>
        <w:suppressAutoHyphens/>
        <w:jc w:val="center"/>
        <w:rPr>
          <w:rFonts w:ascii="Times New Roman" w:hAnsi="Times New Roman"/>
          <w:b/>
          <w:sz w:val="28"/>
          <w:szCs w:val="28"/>
        </w:rPr>
      </w:pPr>
    </w:p>
    <w:sectPr w:rsidR="00595E23"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4EF"/>
    <w:multiLevelType w:val="hybridMultilevel"/>
    <w:tmpl w:val="660A1A1C"/>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264B5D"/>
    <w:multiLevelType w:val="hybridMultilevel"/>
    <w:tmpl w:val="88B288B2"/>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51C1D"/>
    <w:rsid w:val="00595E23"/>
    <w:rsid w:val="00710BAA"/>
    <w:rsid w:val="007302E2"/>
    <w:rsid w:val="00757641"/>
    <w:rsid w:val="008E4AB4"/>
    <w:rsid w:val="00A66CD8"/>
    <w:rsid w:val="00DE1863"/>
    <w:rsid w:val="00F7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2">
    <w:name w:val="heading 2"/>
    <w:basedOn w:val="a"/>
    <w:next w:val="a"/>
    <w:link w:val="20"/>
    <w:uiPriority w:val="9"/>
    <w:unhideWhenUsed/>
    <w:qFormat/>
    <w:rsid w:val="00DE18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20">
    <w:name w:val="Заголовок 2 Знак"/>
    <w:basedOn w:val="a0"/>
    <w:link w:val="2"/>
    <w:uiPriority w:val="9"/>
    <w:rsid w:val="00DE186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2021-04-01T13:39:00Z</dcterms:modified>
</cp:coreProperties>
</file>