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85208C"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85208C">
        <w:rPr>
          <w:rFonts w:ascii="Times New Roman" w:hAnsi="Times New Roman"/>
          <w:b/>
          <w:sz w:val="28"/>
          <w:szCs w:val="28"/>
        </w:rPr>
        <w:t>«</w:t>
      </w:r>
      <w:r w:rsidR="0085208C" w:rsidRPr="0085208C">
        <w:rPr>
          <w:rFonts w:ascii="Times New Roman" w:hAnsi="Times New Roman"/>
          <w:b/>
          <w:color w:val="000000"/>
          <w:sz w:val="28"/>
          <w:szCs w:val="28"/>
          <w:shd w:val="clear" w:color="auto" w:fill="FFFFFF"/>
        </w:rPr>
        <w:t>Учет имущества в учреждениях государственного сектора в свете принятых Федеральных стандартов. Бухгалтерский и налоговый учет</w:t>
      </w:r>
      <w:r w:rsidRPr="0085208C">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430094" w:rsidRDefault="00757641" w:rsidP="00430094">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430094">
        <w:rPr>
          <w:rFonts w:ascii="Times New Roman" w:hAnsi="Times New Roman"/>
          <w:b/>
          <w:sz w:val="28"/>
          <w:szCs w:val="28"/>
        </w:rPr>
        <w:t>(очная форма обучения)</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3522"/>
        <w:gridCol w:w="1651"/>
        <w:gridCol w:w="1200"/>
        <w:gridCol w:w="1198"/>
        <w:gridCol w:w="1651"/>
      </w:tblGrid>
      <w:tr w:rsidR="0085208C" w:rsidRPr="00FC7D77" w:rsidTr="007A2959">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w:t>
            </w:r>
          </w:p>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Всего  часов трудо</w:t>
            </w:r>
            <w:r>
              <w:rPr>
                <w:rFonts w:ascii="Times New Roman" w:hAnsi="Times New Roman"/>
                <w:b/>
                <w:bCs/>
                <w:color w:val="000000"/>
                <w:sz w:val="20"/>
              </w:rPr>
              <w:t>ем</w:t>
            </w:r>
            <w:r w:rsidRPr="00283538">
              <w:rPr>
                <w:rFonts w:ascii="Times New Roman" w:hAnsi="Times New Roman"/>
                <w:b/>
                <w:bCs/>
                <w:color w:val="000000"/>
                <w:sz w:val="20"/>
              </w:rPr>
              <w:t>кости</w:t>
            </w:r>
          </w:p>
        </w:tc>
        <w:tc>
          <w:tcPr>
            <w:tcW w:w="599" w:type="pct"/>
            <w:vMerge w:val="restart"/>
            <w:tcBorders>
              <w:top w:val="single" w:sz="4" w:space="0" w:color="auto"/>
              <w:left w:val="single" w:sz="4" w:space="0" w:color="auto"/>
              <w:bottom w:val="single" w:sz="4" w:space="0" w:color="auto"/>
              <w:right w:val="single" w:sz="4" w:space="0" w:color="auto"/>
            </w:tcBorders>
          </w:tcPr>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Всего,</w:t>
            </w:r>
          </w:p>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85208C" w:rsidRPr="00283538" w:rsidRDefault="0085208C" w:rsidP="007A2959">
            <w:pPr>
              <w:ind w:left="57" w:right="57"/>
              <w:jc w:val="center"/>
              <w:rPr>
                <w:rFonts w:ascii="Times New Roman" w:hAnsi="Times New Roman"/>
                <w:b/>
                <w:bCs/>
                <w:color w:val="000000"/>
                <w:sz w:val="20"/>
              </w:rPr>
            </w:pPr>
            <w:r w:rsidRPr="00283538">
              <w:rPr>
                <w:rFonts w:ascii="Times New Roman" w:hAnsi="Times New Roman"/>
                <w:b/>
                <w:bCs/>
                <w:color w:val="000000"/>
                <w:sz w:val="20"/>
              </w:rPr>
              <w:t>в том числе</w:t>
            </w:r>
          </w:p>
        </w:tc>
      </w:tr>
      <w:tr w:rsidR="0085208C" w:rsidRPr="00FC7D77" w:rsidTr="007A2959">
        <w:trPr>
          <w:trHeight w:val="265"/>
        </w:trPr>
        <w:tc>
          <w:tcPr>
            <w:tcW w:w="396" w:type="pct"/>
            <w:vMerge/>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jc w:val="center"/>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jc w:val="center"/>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jc w:val="center"/>
              <w:rPr>
                <w:rFonts w:ascii="Times New Roman" w:hAnsi="Times New Roman"/>
                <w:b/>
                <w:bCs/>
                <w:color w:val="000000"/>
                <w:sz w:val="20"/>
              </w:rPr>
            </w:pPr>
            <w:r w:rsidRPr="00283538">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pacing w:beforeLines="20" w:before="48" w:afterLines="20" w:after="48"/>
              <w:ind w:left="57" w:right="57"/>
              <w:jc w:val="center"/>
              <w:rPr>
                <w:rFonts w:ascii="Times New Roman" w:hAnsi="Times New Roman"/>
                <w:b/>
                <w:bCs/>
                <w:color w:val="000000"/>
                <w:sz w:val="20"/>
              </w:rPr>
            </w:pPr>
            <w:r w:rsidRPr="00283538">
              <w:rPr>
                <w:rFonts w:ascii="Times New Roman" w:hAnsi="Times New Roman"/>
                <w:b/>
                <w:bCs/>
                <w:color w:val="000000"/>
                <w:sz w:val="20"/>
              </w:rPr>
              <w:t>Практические  занятия</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85208C" w:rsidRPr="00283538" w:rsidRDefault="0085208C" w:rsidP="007A2959">
            <w:pPr>
              <w:suppressAutoHyphens/>
              <w:jc w:val="center"/>
              <w:rPr>
                <w:rFonts w:ascii="Times New Roman" w:hAnsi="Times New Roman"/>
                <w:bCs/>
                <w:sz w:val="20"/>
                <w:lang w:eastAsia="ar-SA"/>
              </w:rPr>
            </w:pPr>
            <w:r w:rsidRPr="00283538">
              <w:rPr>
                <w:rFonts w:ascii="Times New Roman" w:hAnsi="Times New Roman"/>
                <w:bCs/>
                <w:sz w:val="20"/>
                <w:lang w:eastAsia="ar-SA"/>
              </w:rPr>
              <w:t>6</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jc w:val="left"/>
              <w:rPr>
                <w:rFonts w:ascii="Times New Roman" w:hAnsi="Times New Roman"/>
                <w:sz w:val="24"/>
                <w:szCs w:val="24"/>
                <w:lang w:eastAsia="en-US"/>
              </w:rPr>
            </w:pPr>
            <w:r w:rsidRPr="00283538">
              <w:rPr>
                <w:rFonts w:ascii="Times New Roman" w:hAnsi="Times New Roman"/>
                <w:sz w:val="24"/>
                <w:szCs w:val="24"/>
                <w:lang w:eastAsia="ar-SA"/>
              </w:rPr>
              <w:t>Нормативно-правовое обеспечение деятельности государственного (муниципального) учреждения. Организация и ведение бухгалтерского учёта</w:t>
            </w:r>
            <w:r w:rsidRPr="00283538">
              <w:rPr>
                <w:rFonts w:ascii="Helvetica" w:hAnsi="Helvetica" w:cs="Helvetica"/>
                <w:color w:val="333333"/>
                <w:sz w:val="21"/>
                <w:szCs w:val="21"/>
                <w:shd w:val="clear" w:color="auto" w:fill="FFFFFF"/>
              </w:rPr>
              <w:t>.</w:t>
            </w:r>
            <w:r w:rsidRPr="00283538">
              <w:rPr>
                <w:rFonts w:ascii="Times New Roman" w:hAnsi="Times New Roman"/>
                <w:sz w:val="24"/>
                <w:szCs w:val="24"/>
                <w:lang w:eastAsia="en-US"/>
              </w:rPr>
              <w:t xml:space="preserve"> </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jc w:val="left"/>
              <w:rPr>
                <w:rFonts w:ascii="Times New Roman" w:hAnsi="Times New Roman"/>
                <w:sz w:val="24"/>
                <w:szCs w:val="24"/>
                <w:lang w:eastAsia="ar-SA"/>
              </w:rPr>
            </w:pPr>
            <w:r w:rsidRPr="00283538">
              <w:rPr>
                <w:rFonts w:ascii="Times New Roman" w:hAnsi="Times New Roman"/>
                <w:sz w:val="24"/>
                <w:szCs w:val="24"/>
                <w:lang w:eastAsia="ar-SA"/>
              </w:rPr>
              <w:t xml:space="preserve">Учет </w:t>
            </w:r>
            <w:r>
              <w:rPr>
                <w:rFonts w:ascii="Times New Roman" w:hAnsi="Times New Roman"/>
                <w:sz w:val="24"/>
                <w:szCs w:val="24"/>
                <w:lang w:eastAsia="ar-SA"/>
              </w:rPr>
              <w:t xml:space="preserve">объектов основных средств, </w:t>
            </w:r>
            <w:r w:rsidRPr="00283538">
              <w:rPr>
                <w:rFonts w:ascii="Times New Roman" w:hAnsi="Times New Roman"/>
                <w:sz w:val="24"/>
                <w:szCs w:val="24"/>
                <w:lang w:eastAsia="ar-SA"/>
              </w:rPr>
              <w:t>нематериальных</w:t>
            </w:r>
            <w:r>
              <w:rPr>
                <w:rFonts w:ascii="Times New Roman" w:hAnsi="Times New Roman"/>
                <w:sz w:val="24"/>
                <w:szCs w:val="24"/>
                <w:lang w:eastAsia="ar-SA"/>
              </w:rPr>
              <w:t xml:space="preserve"> и непроизведенных</w:t>
            </w:r>
            <w:r w:rsidRPr="00283538">
              <w:rPr>
                <w:rFonts w:ascii="Times New Roman" w:hAnsi="Times New Roman"/>
                <w:sz w:val="24"/>
                <w:szCs w:val="24"/>
                <w:lang w:eastAsia="ar-SA"/>
              </w:rPr>
              <w:t xml:space="preserve"> активов. </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jc w:val="left"/>
              <w:rPr>
                <w:rFonts w:ascii="Times New Roman" w:hAnsi="Times New Roman"/>
                <w:sz w:val="24"/>
                <w:szCs w:val="24"/>
                <w:lang w:eastAsia="ar-SA"/>
              </w:rPr>
            </w:pPr>
            <w:r w:rsidRPr="00283538">
              <w:rPr>
                <w:rFonts w:ascii="Times New Roman" w:hAnsi="Times New Roman"/>
                <w:sz w:val="24"/>
                <w:szCs w:val="24"/>
                <w:lang w:eastAsia="ar-SA"/>
              </w:rPr>
              <w:t xml:space="preserve">Учет материальных запасов. Учёт имущества на забалансовых счетах. </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jc w:val="left"/>
              <w:rPr>
                <w:rFonts w:ascii="Times New Roman" w:hAnsi="Times New Roman"/>
                <w:sz w:val="24"/>
                <w:szCs w:val="24"/>
                <w:lang w:eastAsia="ar-SA"/>
              </w:rPr>
            </w:pPr>
            <w:r>
              <w:rPr>
                <w:rFonts w:ascii="Times New Roman" w:hAnsi="Times New Roman"/>
                <w:sz w:val="24"/>
                <w:szCs w:val="24"/>
                <w:lang w:eastAsia="ar-SA"/>
              </w:rPr>
              <w:t>Проведение инвентаризации</w:t>
            </w:r>
            <w:r w:rsidRPr="00283538">
              <w:rPr>
                <w:rFonts w:ascii="Times New Roman" w:hAnsi="Times New Roman"/>
                <w:sz w:val="24"/>
                <w:szCs w:val="24"/>
                <w:lang w:eastAsia="ar-SA"/>
              </w:rPr>
              <w:t xml:space="preserve"> </w:t>
            </w:r>
            <w:r>
              <w:rPr>
                <w:rFonts w:ascii="Times New Roman" w:hAnsi="Times New Roman"/>
                <w:sz w:val="24"/>
                <w:szCs w:val="24"/>
                <w:lang w:eastAsia="ar-SA"/>
              </w:rPr>
              <w:t>нефинансовых активов.</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3</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3</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rPr>
                <w:rFonts w:ascii="Times New Roman" w:hAnsi="Times New Roman"/>
                <w:bCs/>
                <w:color w:val="000000"/>
                <w:sz w:val="24"/>
                <w:szCs w:val="24"/>
              </w:rPr>
            </w:pPr>
            <w:r w:rsidRPr="00283538">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 xml:space="preserve">Зачет </w:t>
            </w:r>
          </w:p>
        </w:tc>
      </w:tr>
      <w:tr w:rsidR="0085208C" w:rsidRPr="00FC7D77"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sz w:val="24"/>
                <w:szCs w:val="24"/>
              </w:rPr>
            </w:pPr>
            <w:r w:rsidRPr="00283538">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rPr>
                <w:rFonts w:ascii="Times New Roman" w:hAnsi="Times New Roman"/>
                <w:b/>
                <w:bCs/>
                <w:color w:val="000000"/>
                <w:sz w:val="24"/>
                <w:szCs w:val="24"/>
              </w:rPr>
            </w:pPr>
            <w:r w:rsidRPr="00283538">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16</w:t>
            </w: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16</w:t>
            </w: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283538" w:rsidRDefault="0085208C" w:rsidP="007A2959">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85208C" w:rsidRPr="00C62D99" w:rsidTr="007A2959">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jc w:val="center"/>
              <w:rPr>
                <w:rFonts w:ascii="Times New Roman" w:hAnsi="Times New Roman"/>
                <w:sz w:val="24"/>
                <w:szCs w:val="24"/>
                <w:highlight w:val="yellow"/>
              </w:rPr>
            </w:pPr>
          </w:p>
        </w:tc>
        <w:tc>
          <w:tcPr>
            <w:tcW w:w="1758"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rPr>
                <w:rFonts w:ascii="Times New Roman" w:hAnsi="Times New Roman"/>
                <w:b/>
                <w:bCs/>
                <w:color w:val="000000"/>
                <w:sz w:val="24"/>
                <w:szCs w:val="24"/>
                <w:highlight w:val="yellow"/>
              </w:rPr>
            </w:pP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85208C" w:rsidRPr="004E5CB2" w:rsidRDefault="0085208C" w:rsidP="007A2959">
            <w:pPr>
              <w:spacing w:before="20" w:afterLines="20" w:after="48"/>
              <w:jc w:val="center"/>
              <w:rPr>
                <w:rFonts w:ascii="Times New Roman" w:hAnsi="Times New Roman"/>
                <w:b/>
                <w:bCs/>
                <w:color w:val="000000"/>
                <w:sz w:val="24"/>
                <w:szCs w:val="24"/>
              </w:rPr>
            </w:pPr>
          </w:p>
        </w:tc>
      </w:tr>
    </w:tbl>
    <w:p w:rsidR="00A66CD8" w:rsidRDefault="00A66CD8"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757641">
      <w:pPr>
        <w:suppressAutoHyphens/>
        <w:jc w:val="center"/>
        <w:rPr>
          <w:rFonts w:ascii="Times New Roman" w:hAnsi="Times New Roman"/>
          <w:b/>
          <w:sz w:val="28"/>
          <w:szCs w:val="28"/>
        </w:rPr>
      </w:pPr>
    </w:p>
    <w:p w:rsidR="00430094" w:rsidRDefault="00430094" w:rsidP="00430094">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Pr>
          <w:rFonts w:ascii="Times New Roman" w:hAnsi="Times New Roman"/>
          <w:b/>
          <w:sz w:val="28"/>
          <w:szCs w:val="28"/>
        </w:rPr>
        <w:t xml:space="preserve"> (</w:t>
      </w:r>
      <w:r>
        <w:rPr>
          <w:rFonts w:ascii="Times New Roman" w:hAnsi="Times New Roman"/>
          <w:b/>
          <w:sz w:val="28"/>
          <w:szCs w:val="28"/>
        </w:rPr>
        <w:t>заочная</w:t>
      </w:r>
      <w:r>
        <w:rPr>
          <w:rFonts w:ascii="Times New Roman" w:hAnsi="Times New Roman"/>
          <w:b/>
          <w:sz w:val="28"/>
          <w:szCs w:val="28"/>
        </w:rPr>
        <w:t xml:space="preserve"> форма обучения)</w:t>
      </w:r>
    </w:p>
    <w:p w:rsidR="00430094" w:rsidRDefault="00430094" w:rsidP="00430094">
      <w:pPr>
        <w:suppressAutoHyphens/>
        <w:jc w:val="center"/>
        <w:rPr>
          <w:rFonts w:ascii="Times New Roman" w:hAnsi="Times New Roman"/>
          <w:b/>
          <w:sz w:val="28"/>
          <w:szCs w:val="28"/>
        </w:rPr>
      </w:pPr>
    </w:p>
    <w:tbl>
      <w:tblPr>
        <w:tblW w:w="4879" w:type="pct"/>
        <w:tblLayout w:type="fixed"/>
        <w:tblLook w:val="0000" w:firstRow="0" w:lastRow="0" w:firstColumn="0" w:lastColumn="0" w:noHBand="0" w:noVBand="0"/>
      </w:tblPr>
      <w:tblGrid>
        <w:gridCol w:w="792"/>
        <w:gridCol w:w="7396"/>
        <w:gridCol w:w="1842"/>
      </w:tblGrid>
      <w:tr w:rsidR="00430094" w:rsidRPr="00FC7D77" w:rsidTr="00430094">
        <w:trPr>
          <w:trHeight w:val="230"/>
        </w:trPr>
        <w:tc>
          <w:tcPr>
            <w:tcW w:w="395" w:type="pct"/>
            <w:vMerge w:val="restart"/>
            <w:tcBorders>
              <w:top w:val="single" w:sz="4" w:space="0" w:color="auto"/>
              <w:left w:val="single" w:sz="4" w:space="0" w:color="auto"/>
              <w:bottom w:val="single" w:sz="4" w:space="0" w:color="auto"/>
              <w:right w:val="single" w:sz="4" w:space="0" w:color="auto"/>
            </w:tcBorders>
          </w:tcPr>
          <w:p w:rsidR="00430094" w:rsidRPr="00283538" w:rsidRDefault="00430094" w:rsidP="00EF1763">
            <w:pPr>
              <w:ind w:left="57" w:right="57"/>
              <w:jc w:val="center"/>
              <w:rPr>
                <w:rFonts w:ascii="Times New Roman" w:hAnsi="Times New Roman"/>
                <w:b/>
                <w:bCs/>
                <w:color w:val="000000"/>
                <w:sz w:val="20"/>
              </w:rPr>
            </w:pPr>
            <w:r w:rsidRPr="00283538">
              <w:rPr>
                <w:rFonts w:ascii="Times New Roman" w:hAnsi="Times New Roman"/>
                <w:b/>
                <w:bCs/>
                <w:color w:val="000000"/>
                <w:sz w:val="20"/>
              </w:rPr>
              <w:t>№№</w:t>
            </w:r>
          </w:p>
          <w:p w:rsidR="00430094" w:rsidRPr="00283538" w:rsidRDefault="00430094" w:rsidP="00EF1763">
            <w:pPr>
              <w:ind w:left="57" w:right="57"/>
              <w:jc w:val="center"/>
              <w:rPr>
                <w:rFonts w:ascii="Times New Roman" w:hAnsi="Times New Roman"/>
                <w:b/>
                <w:bCs/>
                <w:color w:val="000000"/>
                <w:sz w:val="20"/>
              </w:rPr>
            </w:pPr>
            <w:r w:rsidRPr="00283538">
              <w:rPr>
                <w:rFonts w:ascii="Times New Roman" w:hAnsi="Times New Roman"/>
                <w:b/>
                <w:bCs/>
                <w:color w:val="000000"/>
                <w:sz w:val="20"/>
              </w:rPr>
              <w:t>п.п.</w:t>
            </w:r>
          </w:p>
        </w:tc>
        <w:tc>
          <w:tcPr>
            <w:tcW w:w="3687" w:type="pct"/>
            <w:vMerge w:val="restart"/>
            <w:tcBorders>
              <w:top w:val="single" w:sz="4" w:space="0" w:color="auto"/>
              <w:left w:val="single" w:sz="4" w:space="0" w:color="auto"/>
              <w:bottom w:val="single" w:sz="4" w:space="0" w:color="auto"/>
              <w:right w:val="single" w:sz="4" w:space="0" w:color="auto"/>
            </w:tcBorders>
          </w:tcPr>
          <w:p w:rsidR="00430094" w:rsidRPr="00283538" w:rsidRDefault="00430094" w:rsidP="00EF1763">
            <w:pPr>
              <w:ind w:left="57" w:right="57"/>
              <w:jc w:val="center"/>
              <w:rPr>
                <w:rFonts w:ascii="Times New Roman" w:hAnsi="Times New Roman"/>
                <w:b/>
                <w:bCs/>
                <w:color w:val="000000"/>
                <w:sz w:val="20"/>
              </w:rPr>
            </w:pPr>
            <w:r w:rsidRPr="00283538">
              <w:rPr>
                <w:rFonts w:ascii="Times New Roman" w:hAnsi="Times New Roman"/>
                <w:b/>
                <w:bCs/>
                <w:color w:val="000000"/>
                <w:sz w:val="20"/>
              </w:rPr>
              <w:t>Наименование разделов и дисциплин (модулей)</w:t>
            </w:r>
          </w:p>
        </w:tc>
        <w:tc>
          <w:tcPr>
            <w:tcW w:w="918" w:type="pct"/>
            <w:vMerge w:val="restart"/>
            <w:tcBorders>
              <w:top w:val="single" w:sz="4" w:space="0" w:color="auto"/>
              <w:left w:val="single" w:sz="4" w:space="0" w:color="auto"/>
              <w:bottom w:val="single" w:sz="4" w:space="0" w:color="auto"/>
              <w:right w:val="single" w:sz="4" w:space="0" w:color="auto"/>
            </w:tcBorders>
          </w:tcPr>
          <w:p w:rsidR="00430094" w:rsidRPr="00283538" w:rsidRDefault="00430094" w:rsidP="00EF1763">
            <w:pPr>
              <w:ind w:left="57" w:right="57"/>
              <w:jc w:val="center"/>
              <w:rPr>
                <w:rFonts w:ascii="Times New Roman" w:hAnsi="Times New Roman"/>
                <w:b/>
                <w:bCs/>
                <w:color w:val="000000"/>
                <w:sz w:val="20"/>
              </w:rPr>
            </w:pPr>
            <w:r w:rsidRPr="00283538">
              <w:rPr>
                <w:rFonts w:ascii="Times New Roman" w:hAnsi="Times New Roman"/>
                <w:b/>
                <w:bCs/>
                <w:color w:val="000000"/>
                <w:sz w:val="20"/>
              </w:rPr>
              <w:t>Всего  часов трудо</w:t>
            </w:r>
            <w:r>
              <w:rPr>
                <w:rFonts w:ascii="Times New Roman" w:hAnsi="Times New Roman"/>
                <w:b/>
                <w:bCs/>
                <w:color w:val="000000"/>
                <w:sz w:val="20"/>
              </w:rPr>
              <w:t>ем</w:t>
            </w:r>
            <w:r w:rsidRPr="00283538">
              <w:rPr>
                <w:rFonts w:ascii="Times New Roman" w:hAnsi="Times New Roman"/>
                <w:b/>
                <w:bCs/>
                <w:color w:val="000000"/>
                <w:sz w:val="20"/>
              </w:rPr>
              <w:t>кости</w:t>
            </w:r>
          </w:p>
        </w:tc>
      </w:tr>
      <w:tr w:rsidR="00430094" w:rsidRPr="00FC7D77" w:rsidTr="00430094">
        <w:trPr>
          <w:trHeight w:val="418"/>
        </w:trPr>
        <w:tc>
          <w:tcPr>
            <w:tcW w:w="395" w:type="pct"/>
            <w:vMerge/>
            <w:tcBorders>
              <w:top w:val="single" w:sz="4" w:space="0" w:color="auto"/>
              <w:left w:val="single" w:sz="4" w:space="0" w:color="auto"/>
              <w:bottom w:val="single" w:sz="4" w:space="0" w:color="auto"/>
              <w:right w:val="single" w:sz="4" w:space="0" w:color="auto"/>
            </w:tcBorders>
          </w:tcPr>
          <w:p w:rsidR="00430094" w:rsidRPr="00283538" w:rsidRDefault="00430094" w:rsidP="00EF1763">
            <w:pPr>
              <w:spacing w:beforeLines="20" w:before="48" w:afterLines="20" w:after="48"/>
              <w:ind w:left="57" w:right="57"/>
              <w:jc w:val="center"/>
              <w:rPr>
                <w:rFonts w:ascii="Times New Roman" w:hAnsi="Times New Roman"/>
                <w:b/>
                <w:bCs/>
                <w:color w:val="000000"/>
                <w:sz w:val="28"/>
                <w:szCs w:val="28"/>
              </w:rPr>
            </w:pPr>
          </w:p>
        </w:tc>
        <w:tc>
          <w:tcPr>
            <w:tcW w:w="3687" w:type="pct"/>
            <w:vMerge/>
            <w:tcBorders>
              <w:top w:val="single" w:sz="4" w:space="0" w:color="auto"/>
              <w:left w:val="single" w:sz="4" w:space="0" w:color="auto"/>
              <w:bottom w:val="single" w:sz="4" w:space="0" w:color="auto"/>
              <w:right w:val="single" w:sz="4" w:space="0" w:color="auto"/>
            </w:tcBorders>
          </w:tcPr>
          <w:p w:rsidR="00430094" w:rsidRPr="00283538" w:rsidRDefault="00430094" w:rsidP="00EF1763">
            <w:pPr>
              <w:spacing w:beforeLines="20" w:before="48" w:afterLines="20" w:after="48"/>
              <w:ind w:left="57" w:right="57"/>
              <w:rPr>
                <w:rFonts w:ascii="Times New Roman" w:hAnsi="Times New Roman"/>
                <w:b/>
                <w:bCs/>
                <w:color w:val="000000"/>
                <w:sz w:val="28"/>
                <w:szCs w:val="28"/>
              </w:rPr>
            </w:pPr>
          </w:p>
        </w:tc>
        <w:tc>
          <w:tcPr>
            <w:tcW w:w="918" w:type="pct"/>
            <w:vMerge/>
            <w:tcBorders>
              <w:top w:val="single" w:sz="4" w:space="0" w:color="auto"/>
              <w:left w:val="single" w:sz="4" w:space="0" w:color="auto"/>
              <w:bottom w:val="single" w:sz="4" w:space="0" w:color="auto"/>
              <w:right w:val="single" w:sz="4" w:space="0" w:color="auto"/>
            </w:tcBorders>
          </w:tcPr>
          <w:p w:rsidR="00430094" w:rsidRPr="00283538" w:rsidRDefault="00430094" w:rsidP="00EF1763">
            <w:pPr>
              <w:spacing w:beforeLines="20" w:before="48" w:afterLines="20" w:after="48"/>
              <w:ind w:left="57" w:right="57"/>
              <w:jc w:val="center"/>
              <w:rPr>
                <w:rFonts w:ascii="Times New Roman" w:hAnsi="Times New Roman"/>
                <w:b/>
                <w:bCs/>
                <w:color w:val="000000"/>
                <w:sz w:val="28"/>
                <w:szCs w:val="28"/>
              </w:rPr>
            </w:pP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tcPr>
          <w:p w:rsidR="00430094" w:rsidRPr="00283538" w:rsidRDefault="00430094" w:rsidP="00EF1763">
            <w:pPr>
              <w:suppressAutoHyphens/>
              <w:jc w:val="center"/>
              <w:rPr>
                <w:rFonts w:ascii="Times New Roman" w:hAnsi="Times New Roman"/>
                <w:bCs/>
                <w:sz w:val="20"/>
                <w:lang w:eastAsia="ar-SA"/>
              </w:rPr>
            </w:pPr>
            <w:r w:rsidRPr="00283538">
              <w:rPr>
                <w:rFonts w:ascii="Times New Roman" w:hAnsi="Times New Roman"/>
                <w:bCs/>
                <w:sz w:val="20"/>
                <w:lang w:eastAsia="ar-SA"/>
              </w:rPr>
              <w:t>1</w:t>
            </w:r>
          </w:p>
        </w:tc>
        <w:tc>
          <w:tcPr>
            <w:tcW w:w="3687" w:type="pct"/>
            <w:tcBorders>
              <w:top w:val="single" w:sz="4" w:space="0" w:color="auto"/>
              <w:left w:val="single" w:sz="4" w:space="0" w:color="auto"/>
              <w:bottom w:val="single" w:sz="4" w:space="0" w:color="auto"/>
              <w:right w:val="single" w:sz="4" w:space="0" w:color="auto"/>
            </w:tcBorders>
          </w:tcPr>
          <w:p w:rsidR="00430094" w:rsidRPr="00283538" w:rsidRDefault="00430094" w:rsidP="00EF1763">
            <w:pPr>
              <w:suppressAutoHyphens/>
              <w:jc w:val="center"/>
              <w:rPr>
                <w:rFonts w:ascii="Times New Roman" w:hAnsi="Times New Roman"/>
                <w:bCs/>
                <w:sz w:val="20"/>
                <w:lang w:eastAsia="ar-SA"/>
              </w:rPr>
            </w:pPr>
            <w:r w:rsidRPr="00283538">
              <w:rPr>
                <w:rFonts w:ascii="Times New Roman" w:hAnsi="Times New Roman"/>
                <w:bCs/>
                <w:sz w:val="20"/>
                <w:lang w:eastAsia="ar-SA"/>
              </w:rPr>
              <w:t>2</w:t>
            </w:r>
          </w:p>
        </w:tc>
        <w:tc>
          <w:tcPr>
            <w:tcW w:w="918" w:type="pct"/>
            <w:tcBorders>
              <w:top w:val="single" w:sz="4" w:space="0" w:color="auto"/>
              <w:left w:val="single" w:sz="4" w:space="0" w:color="auto"/>
              <w:bottom w:val="single" w:sz="4" w:space="0" w:color="auto"/>
              <w:right w:val="single" w:sz="4" w:space="0" w:color="auto"/>
            </w:tcBorders>
          </w:tcPr>
          <w:p w:rsidR="00430094" w:rsidRPr="00283538" w:rsidRDefault="00430094" w:rsidP="00EF1763">
            <w:pPr>
              <w:suppressAutoHyphens/>
              <w:jc w:val="center"/>
              <w:rPr>
                <w:rFonts w:ascii="Times New Roman" w:hAnsi="Times New Roman"/>
                <w:bCs/>
                <w:sz w:val="20"/>
                <w:lang w:eastAsia="ar-SA"/>
              </w:rPr>
            </w:pPr>
            <w:r w:rsidRPr="00283538">
              <w:rPr>
                <w:rFonts w:ascii="Times New Roman" w:hAnsi="Times New Roman"/>
                <w:bCs/>
                <w:sz w:val="20"/>
                <w:lang w:eastAsia="ar-SA"/>
              </w:rPr>
              <w:t>3</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1.</w:t>
            </w: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jc w:val="left"/>
              <w:rPr>
                <w:rFonts w:ascii="Times New Roman" w:hAnsi="Times New Roman"/>
                <w:sz w:val="24"/>
                <w:szCs w:val="24"/>
                <w:lang w:eastAsia="en-US"/>
              </w:rPr>
            </w:pPr>
            <w:r w:rsidRPr="00283538">
              <w:rPr>
                <w:rFonts w:ascii="Times New Roman" w:hAnsi="Times New Roman"/>
                <w:sz w:val="24"/>
                <w:szCs w:val="24"/>
                <w:lang w:eastAsia="ar-SA"/>
              </w:rPr>
              <w:t xml:space="preserve">Нормативно-правовое обеспечение деятельности государственного </w:t>
            </w:r>
            <w:bookmarkStart w:id="0" w:name="_GoBack"/>
            <w:bookmarkEnd w:id="0"/>
            <w:r w:rsidRPr="00283538">
              <w:rPr>
                <w:rFonts w:ascii="Times New Roman" w:hAnsi="Times New Roman"/>
                <w:sz w:val="24"/>
                <w:szCs w:val="24"/>
                <w:lang w:eastAsia="ar-SA"/>
              </w:rPr>
              <w:t>(муниципального) учреждения. Организация и ведение бухгалтерского учёта</w:t>
            </w:r>
            <w:r w:rsidRPr="00283538">
              <w:rPr>
                <w:rFonts w:ascii="Helvetica" w:hAnsi="Helvetica" w:cs="Helvetica"/>
                <w:color w:val="333333"/>
                <w:sz w:val="21"/>
                <w:szCs w:val="21"/>
                <w:shd w:val="clear" w:color="auto" w:fill="FFFFFF"/>
              </w:rPr>
              <w:t>.</w:t>
            </w:r>
            <w:r w:rsidRPr="00283538">
              <w:rPr>
                <w:rFonts w:ascii="Times New Roman" w:hAnsi="Times New Roman"/>
                <w:sz w:val="24"/>
                <w:szCs w:val="24"/>
                <w:lang w:eastAsia="en-US"/>
              </w:rPr>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2.</w:t>
            </w: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jc w:val="left"/>
              <w:rPr>
                <w:rFonts w:ascii="Times New Roman" w:hAnsi="Times New Roman"/>
                <w:sz w:val="24"/>
                <w:szCs w:val="24"/>
                <w:lang w:eastAsia="ar-SA"/>
              </w:rPr>
            </w:pPr>
            <w:r w:rsidRPr="00283538">
              <w:rPr>
                <w:rFonts w:ascii="Times New Roman" w:hAnsi="Times New Roman"/>
                <w:sz w:val="24"/>
                <w:szCs w:val="24"/>
                <w:lang w:eastAsia="ar-SA"/>
              </w:rPr>
              <w:t xml:space="preserve">Учет </w:t>
            </w:r>
            <w:r>
              <w:rPr>
                <w:rFonts w:ascii="Times New Roman" w:hAnsi="Times New Roman"/>
                <w:sz w:val="24"/>
                <w:szCs w:val="24"/>
                <w:lang w:eastAsia="ar-SA"/>
              </w:rPr>
              <w:t xml:space="preserve">объектов основных средств, </w:t>
            </w:r>
            <w:r w:rsidRPr="00283538">
              <w:rPr>
                <w:rFonts w:ascii="Times New Roman" w:hAnsi="Times New Roman"/>
                <w:sz w:val="24"/>
                <w:szCs w:val="24"/>
                <w:lang w:eastAsia="ar-SA"/>
              </w:rPr>
              <w:t>нематериальных</w:t>
            </w:r>
            <w:r>
              <w:rPr>
                <w:rFonts w:ascii="Times New Roman" w:hAnsi="Times New Roman"/>
                <w:sz w:val="24"/>
                <w:szCs w:val="24"/>
                <w:lang w:eastAsia="ar-SA"/>
              </w:rPr>
              <w:t xml:space="preserve"> и непроизведенных</w:t>
            </w:r>
            <w:r w:rsidRPr="00283538">
              <w:rPr>
                <w:rFonts w:ascii="Times New Roman" w:hAnsi="Times New Roman"/>
                <w:sz w:val="24"/>
                <w:szCs w:val="24"/>
                <w:lang w:eastAsia="ar-SA"/>
              </w:rPr>
              <w:t xml:space="preserve"> активов. </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3.</w:t>
            </w: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jc w:val="left"/>
              <w:rPr>
                <w:rFonts w:ascii="Times New Roman" w:hAnsi="Times New Roman"/>
                <w:sz w:val="24"/>
                <w:szCs w:val="24"/>
                <w:lang w:eastAsia="ar-SA"/>
              </w:rPr>
            </w:pPr>
            <w:r w:rsidRPr="00283538">
              <w:rPr>
                <w:rFonts w:ascii="Times New Roman" w:hAnsi="Times New Roman"/>
                <w:sz w:val="24"/>
                <w:szCs w:val="24"/>
                <w:lang w:eastAsia="ar-SA"/>
              </w:rPr>
              <w:t xml:space="preserve">Учет материальных запасов. Учёт имущества на забалансовых счетах. </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5</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Cs/>
                <w:color w:val="000000"/>
                <w:sz w:val="24"/>
                <w:szCs w:val="24"/>
              </w:rPr>
            </w:pPr>
            <w:r w:rsidRPr="00283538">
              <w:rPr>
                <w:rFonts w:ascii="Times New Roman" w:hAnsi="Times New Roman"/>
                <w:bCs/>
                <w:color w:val="000000"/>
                <w:sz w:val="24"/>
                <w:szCs w:val="24"/>
              </w:rPr>
              <w:t>4.</w:t>
            </w: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jc w:val="left"/>
              <w:rPr>
                <w:rFonts w:ascii="Times New Roman" w:hAnsi="Times New Roman"/>
                <w:sz w:val="24"/>
                <w:szCs w:val="24"/>
                <w:lang w:eastAsia="ar-SA"/>
              </w:rPr>
            </w:pPr>
            <w:r>
              <w:rPr>
                <w:rFonts w:ascii="Times New Roman" w:hAnsi="Times New Roman"/>
                <w:sz w:val="24"/>
                <w:szCs w:val="24"/>
                <w:lang w:eastAsia="ar-SA"/>
              </w:rPr>
              <w:t>Проведение инвентаризации</w:t>
            </w:r>
            <w:r w:rsidRPr="00283538">
              <w:rPr>
                <w:rFonts w:ascii="Times New Roman" w:hAnsi="Times New Roman"/>
                <w:sz w:val="24"/>
                <w:szCs w:val="24"/>
                <w:lang w:eastAsia="ar-SA"/>
              </w:rPr>
              <w:t xml:space="preserve"> </w:t>
            </w:r>
            <w:r>
              <w:rPr>
                <w:rFonts w:ascii="Times New Roman" w:hAnsi="Times New Roman"/>
                <w:sz w:val="24"/>
                <w:szCs w:val="24"/>
                <w:lang w:eastAsia="ar-SA"/>
              </w:rPr>
              <w:t>нефинансовых активов.</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3</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Cs/>
                <w:color w:val="000000"/>
                <w:sz w:val="24"/>
                <w:szCs w:val="24"/>
              </w:rPr>
            </w:pP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rPr>
                <w:rFonts w:ascii="Times New Roman" w:hAnsi="Times New Roman"/>
                <w:bCs/>
                <w:color w:val="000000"/>
                <w:sz w:val="24"/>
                <w:szCs w:val="24"/>
              </w:rPr>
            </w:pPr>
            <w:r w:rsidRPr="00283538">
              <w:rPr>
                <w:rFonts w:ascii="Times New Roman" w:hAnsi="Times New Roman"/>
                <w:bCs/>
                <w:color w:val="000000"/>
                <w:sz w:val="24"/>
                <w:szCs w:val="24"/>
              </w:rPr>
              <w:t>Итоговая аттестация</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w:t>
            </w:r>
          </w:p>
        </w:tc>
      </w:tr>
      <w:tr w:rsidR="00430094" w:rsidRPr="00FC7D77"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sz w:val="24"/>
                <w:szCs w:val="24"/>
              </w:rPr>
            </w:pPr>
            <w:r w:rsidRPr="00283538">
              <w:rPr>
                <w:rFonts w:ascii="Times New Roman" w:hAnsi="Times New Roman"/>
                <w:sz w:val="24"/>
                <w:szCs w:val="24"/>
              </w:rPr>
              <w:t> </w:t>
            </w: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rPr>
                <w:rFonts w:ascii="Times New Roman" w:hAnsi="Times New Roman"/>
                <w:b/>
                <w:bCs/>
                <w:color w:val="000000"/>
                <w:sz w:val="24"/>
                <w:szCs w:val="24"/>
              </w:rPr>
            </w:pPr>
            <w:r w:rsidRPr="00283538">
              <w:rPr>
                <w:rFonts w:ascii="Times New Roman" w:hAnsi="Times New Roman"/>
                <w:b/>
                <w:bCs/>
                <w:color w:val="000000"/>
                <w:sz w:val="24"/>
                <w:szCs w:val="24"/>
              </w:rPr>
              <w:t>ИТОГО</w:t>
            </w: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283538" w:rsidRDefault="00430094" w:rsidP="00EF1763">
            <w:pPr>
              <w:spacing w:before="20" w:afterLines="20" w:after="48"/>
              <w:jc w:val="center"/>
              <w:rPr>
                <w:rFonts w:ascii="Times New Roman" w:hAnsi="Times New Roman"/>
                <w:b/>
                <w:bCs/>
                <w:color w:val="000000"/>
                <w:sz w:val="24"/>
                <w:szCs w:val="24"/>
              </w:rPr>
            </w:pPr>
            <w:r w:rsidRPr="00283538">
              <w:rPr>
                <w:rFonts w:ascii="Times New Roman" w:hAnsi="Times New Roman"/>
                <w:b/>
                <w:bCs/>
                <w:color w:val="000000"/>
                <w:sz w:val="24"/>
                <w:szCs w:val="24"/>
              </w:rPr>
              <w:t>16</w:t>
            </w:r>
          </w:p>
        </w:tc>
      </w:tr>
      <w:tr w:rsidR="00430094" w:rsidRPr="00C62D99" w:rsidTr="00430094">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430094" w:rsidRPr="004E5CB2" w:rsidRDefault="00430094" w:rsidP="00EF1763">
            <w:pPr>
              <w:spacing w:before="20" w:afterLines="20" w:after="48"/>
              <w:jc w:val="center"/>
              <w:rPr>
                <w:rFonts w:ascii="Times New Roman" w:hAnsi="Times New Roman"/>
                <w:sz w:val="24"/>
                <w:szCs w:val="24"/>
                <w:highlight w:val="yellow"/>
              </w:rPr>
            </w:pPr>
          </w:p>
        </w:tc>
        <w:tc>
          <w:tcPr>
            <w:tcW w:w="3687" w:type="pct"/>
            <w:tcBorders>
              <w:top w:val="single" w:sz="4" w:space="0" w:color="auto"/>
              <w:left w:val="single" w:sz="4" w:space="0" w:color="auto"/>
              <w:bottom w:val="single" w:sz="4" w:space="0" w:color="auto"/>
              <w:right w:val="single" w:sz="4" w:space="0" w:color="auto"/>
            </w:tcBorders>
            <w:vAlign w:val="center"/>
          </w:tcPr>
          <w:p w:rsidR="00430094" w:rsidRPr="004E5CB2" w:rsidRDefault="00430094" w:rsidP="00EF1763">
            <w:pPr>
              <w:spacing w:before="20" w:afterLines="20" w:after="48"/>
              <w:rPr>
                <w:rFonts w:ascii="Times New Roman" w:hAnsi="Times New Roman"/>
                <w:b/>
                <w:bCs/>
                <w:color w:val="000000"/>
                <w:sz w:val="24"/>
                <w:szCs w:val="24"/>
                <w:highlight w:val="yellow"/>
              </w:rPr>
            </w:pPr>
          </w:p>
        </w:tc>
        <w:tc>
          <w:tcPr>
            <w:tcW w:w="918" w:type="pct"/>
            <w:tcBorders>
              <w:top w:val="single" w:sz="4" w:space="0" w:color="auto"/>
              <w:left w:val="single" w:sz="4" w:space="0" w:color="auto"/>
              <w:bottom w:val="single" w:sz="4" w:space="0" w:color="auto"/>
              <w:right w:val="single" w:sz="4" w:space="0" w:color="auto"/>
            </w:tcBorders>
            <w:vAlign w:val="center"/>
          </w:tcPr>
          <w:p w:rsidR="00430094" w:rsidRPr="004E5CB2" w:rsidRDefault="00430094" w:rsidP="00EF1763">
            <w:pPr>
              <w:spacing w:before="20" w:afterLines="20" w:after="48"/>
              <w:jc w:val="center"/>
              <w:rPr>
                <w:rFonts w:ascii="Times New Roman" w:hAnsi="Times New Roman"/>
                <w:b/>
                <w:bCs/>
                <w:color w:val="000000"/>
                <w:sz w:val="24"/>
                <w:szCs w:val="24"/>
              </w:rPr>
            </w:pPr>
          </w:p>
        </w:tc>
      </w:tr>
    </w:tbl>
    <w:p w:rsidR="00430094" w:rsidRDefault="00430094" w:rsidP="00757641">
      <w:pPr>
        <w:suppressAutoHyphens/>
        <w:jc w:val="center"/>
        <w:rPr>
          <w:rFonts w:ascii="Times New Roman" w:hAnsi="Times New Roman"/>
          <w:b/>
          <w:sz w:val="28"/>
          <w:szCs w:val="28"/>
        </w:rPr>
      </w:pPr>
    </w:p>
    <w:sectPr w:rsidR="00430094"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30094"/>
    <w:rsid w:val="004E79B1"/>
    <w:rsid w:val="00551C1D"/>
    <w:rsid w:val="00556718"/>
    <w:rsid w:val="00710BAA"/>
    <w:rsid w:val="00757641"/>
    <w:rsid w:val="0078730E"/>
    <w:rsid w:val="0085208C"/>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cp:lastPrinted>2021-03-04T09:00:00Z</cp:lastPrinted>
  <dcterms:created xsi:type="dcterms:W3CDTF">2021-02-19T12:15:00Z</dcterms:created>
  <dcterms:modified xsi:type="dcterms:W3CDTF">2021-03-05T12:35:00Z</dcterms:modified>
</cp:coreProperties>
</file>